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中共新疆哈密市伊吾县委员会政法委员会2021年度部门决算公开说明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color w:val="auto"/>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val="en-US" w:eastAsia="zh-CN"/>
        </w:rPr>
      </w:pPr>
      <w:bookmarkStart w:id="5" w:name="_Toc31238"/>
      <w:bookmarkStart w:id="6" w:name="_Toc2151"/>
      <w:r>
        <w:rPr>
          <w:rFonts w:hint="eastAsia" w:ascii="仿宋_GB2312" w:eastAsia="仿宋_GB2312"/>
          <w:color w:val="auto"/>
          <w:sz w:val="32"/>
          <w:szCs w:val="32"/>
          <w:highlight w:val="none"/>
          <w:lang w:val="en-US" w:eastAsia="zh-CN"/>
        </w:rPr>
        <w:t>本单位主要职能为涉密内容，不予公开</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本单位机构设置及人员情况为涉密内容，不予公开</w:t>
      </w:r>
      <w:bookmarkStart w:id="52" w:name="_GoBack"/>
      <w:bookmarkEnd w:id="52"/>
    </w:p>
    <w:p>
      <w:pPr>
        <w:ind w:firstLine="640" w:firstLineChars="200"/>
        <w:rPr>
          <w:rFonts w:ascii="仿宋_GB2312" w:eastAsia="仿宋_GB2312"/>
          <w:sz w:val="32"/>
          <w:szCs w:val="32"/>
        </w:rPr>
      </w:pP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1,496.73</w:t>
      </w:r>
      <w:r>
        <w:rPr>
          <w:rFonts w:hint="eastAsia" w:ascii="仿宋_GB2312" w:eastAsia="仿宋_GB2312"/>
          <w:sz w:val="32"/>
          <w:szCs w:val="32"/>
        </w:rPr>
        <w:t>万元，与上年相比，减少1,583.65万元，</w:t>
      </w:r>
      <w:r>
        <w:rPr>
          <w:rFonts w:ascii="仿宋_GB2312" w:eastAsia="仿宋_GB2312"/>
          <w:sz w:val="32"/>
          <w:szCs w:val="32"/>
        </w:rPr>
        <w:t>降低51.41</w:t>
      </w:r>
      <w:r>
        <w:rPr>
          <w:rFonts w:hint="eastAsia" w:ascii="仿宋_GB2312" w:eastAsia="仿宋_GB2312"/>
          <w:sz w:val="32"/>
          <w:szCs w:val="32"/>
        </w:rPr>
        <w:t>%，主要原因是：本年减少支持经济和社会发展重点项目、民生和社会发展重点项目、伊吾县政法委委托业务费。本年支出</w:t>
      </w:r>
      <w:r>
        <w:rPr>
          <w:rFonts w:ascii="仿宋_GB2312" w:eastAsia="仿宋_GB2312"/>
          <w:sz w:val="32"/>
          <w:szCs w:val="32"/>
        </w:rPr>
        <w:t>1,492.87</w:t>
      </w:r>
      <w:r>
        <w:rPr>
          <w:rFonts w:hint="eastAsia" w:ascii="仿宋_GB2312" w:eastAsia="仿宋_GB2312"/>
          <w:sz w:val="32"/>
          <w:szCs w:val="32"/>
        </w:rPr>
        <w:t>万元，与上年相比，</w:t>
      </w:r>
      <w:r>
        <w:rPr>
          <w:rFonts w:ascii="仿宋_GB2312" w:eastAsia="仿宋_GB2312"/>
          <w:sz w:val="32"/>
          <w:szCs w:val="32"/>
        </w:rPr>
        <w:t>减少1,587.38</w:t>
      </w:r>
      <w:r>
        <w:rPr>
          <w:rFonts w:hint="eastAsia" w:ascii="仿宋_GB2312" w:eastAsia="仿宋_GB2312"/>
          <w:sz w:val="32"/>
          <w:szCs w:val="32"/>
        </w:rPr>
        <w:t>万元，</w:t>
      </w:r>
      <w:r>
        <w:rPr>
          <w:rFonts w:ascii="仿宋_GB2312" w:eastAsia="仿宋_GB2312"/>
          <w:sz w:val="32"/>
          <w:szCs w:val="32"/>
        </w:rPr>
        <w:t>降低51.53</w:t>
      </w:r>
      <w:r>
        <w:rPr>
          <w:rFonts w:hint="eastAsia" w:ascii="仿宋_GB2312" w:eastAsia="仿宋_GB2312"/>
          <w:sz w:val="32"/>
          <w:szCs w:val="32"/>
        </w:rPr>
        <w:t>%，主要原因是：本年减少支持经济和社会发展重点项目、民生和社会发展重点项目、伊吾县政法委委托业务费。</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1,496.73</w:t>
      </w:r>
      <w:r>
        <w:rPr>
          <w:rFonts w:hint="eastAsia" w:ascii="仿宋_GB2312" w:eastAsia="仿宋_GB2312"/>
          <w:sz w:val="32"/>
          <w:szCs w:val="32"/>
        </w:rPr>
        <w:t>万元，其中：财政拨款收入</w:t>
      </w:r>
      <w:r>
        <w:rPr>
          <w:rFonts w:ascii="仿宋_GB2312" w:eastAsia="仿宋_GB2312"/>
          <w:sz w:val="32"/>
          <w:szCs w:val="32"/>
        </w:rPr>
        <w:t>1,496.66</w:t>
      </w:r>
      <w:r>
        <w:rPr>
          <w:rFonts w:hint="eastAsia" w:ascii="仿宋_GB2312" w:eastAsia="仿宋_GB2312"/>
          <w:sz w:val="32"/>
          <w:szCs w:val="32"/>
        </w:rPr>
        <w:t>万元，占99.99%；上级补助收入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0.08</w:t>
      </w:r>
      <w:r>
        <w:rPr>
          <w:rFonts w:hint="eastAsia" w:ascii="仿宋_GB2312" w:eastAsia="仿宋_GB2312"/>
          <w:sz w:val="32"/>
          <w:szCs w:val="32"/>
        </w:rPr>
        <w:t>万元，占0.01%。</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年度本年支出1,492.87万元，其中：基本支出</w:t>
      </w:r>
      <w:r>
        <w:rPr>
          <w:rFonts w:ascii="仿宋_GB2312" w:eastAsia="仿宋_GB2312"/>
          <w:sz w:val="32"/>
          <w:szCs w:val="32"/>
        </w:rPr>
        <w:t>551.91</w:t>
      </w:r>
      <w:r>
        <w:rPr>
          <w:rFonts w:hint="eastAsia" w:ascii="仿宋_GB2312" w:eastAsia="仿宋_GB2312"/>
          <w:sz w:val="32"/>
          <w:szCs w:val="32"/>
        </w:rPr>
        <w:t>万元，占36.97%；项目支出</w:t>
      </w:r>
      <w:r>
        <w:rPr>
          <w:rFonts w:ascii="仿宋_GB2312" w:eastAsia="仿宋_GB2312"/>
          <w:sz w:val="32"/>
          <w:szCs w:val="32"/>
        </w:rPr>
        <w:t>940.97</w:t>
      </w:r>
      <w:r>
        <w:rPr>
          <w:rFonts w:hint="eastAsia" w:ascii="仿宋_GB2312" w:eastAsia="仿宋_GB2312"/>
          <w:sz w:val="32"/>
          <w:szCs w:val="32"/>
        </w:rPr>
        <w:t>万元，占63.03%；上缴上级支出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1,496.66万元，与上年相比，减少1,284.17万元，降低46.18%，主要原因是：本年减少支持经济和社会发展重点项目、民生和社会发展重点项目、伊吾县政法委委托业务费。财政拨款支出1,492.87万元，与上年相比，减少1,287.96万元，降低46.32%，主要原因是：本年减少支持经济和社会发展重点项目、民生和社会发展重点项目、伊吾县政法委委托业务费。</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801.41</w:t>
      </w:r>
      <w:r>
        <w:rPr>
          <w:rFonts w:hint="eastAsia" w:ascii="仿宋_GB2312" w:eastAsia="仿宋_GB2312"/>
          <w:sz w:val="32"/>
          <w:szCs w:val="32"/>
        </w:rPr>
        <w:t>万元，决算数</w:t>
      </w:r>
      <w:r>
        <w:rPr>
          <w:rFonts w:ascii="仿宋_GB2312" w:eastAsia="仿宋_GB2312"/>
          <w:sz w:val="32"/>
          <w:szCs w:val="32"/>
        </w:rPr>
        <w:t>1,496.66</w:t>
      </w:r>
      <w:r>
        <w:rPr>
          <w:rFonts w:hint="eastAsia" w:ascii="仿宋_GB2312" w:eastAsia="仿宋_GB2312"/>
          <w:sz w:val="32"/>
          <w:szCs w:val="32"/>
        </w:rPr>
        <w:t>万元，预决算差异率</w:t>
      </w:r>
      <w:r>
        <w:rPr>
          <w:rFonts w:ascii="仿宋_GB2312" w:eastAsia="仿宋_GB2312"/>
          <w:sz w:val="32"/>
          <w:szCs w:val="32"/>
        </w:rPr>
        <w:t>86.75</w:t>
      </w:r>
      <w:r>
        <w:rPr>
          <w:rFonts w:hint="eastAsia" w:ascii="仿宋_GB2312" w:eastAsia="仿宋_GB2312"/>
          <w:sz w:val="32"/>
          <w:szCs w:val="32"/>
        </w:rPr>
        <w:t>%，主要原因是：年初只安排人员经费预算，未做项目预算，年中追加项目经费，导致预决算存在差异。财政拨款支出年初预算数</w:t>
      </w:r>
      <w:r>
        <w:rPr>
          <w:rFonts w:ascii="仿宋_GB2312" w:eastAsia="仿宋_GB2312"/>
          <w:sz w:val="32"/>
          <w:szCs w:val="32"/>
        </w:rPr>
        <w:t>801.41</w:t>
      </w:r>
      <w:r>
        <w:rPr>
          <w:rFonts w:hint="eastAsia" w:ascii="仿宋_GB2312" w:eastAsia="仿宋_GB2312"/>
          <w:sz w:val="32"/>
          <w:szCs w:val="32"/>
        </w:rPr>
        <w:t>万元，决算数</w:t>
      </w:r>
      <w:r>
        <w:rPr>
          <w:rFonts w:ascii="仿宋_GB2312" w:eastAsia="仿宋_GB2312"/>
          <w:sz w:val="32"/>
          <w:szCs w:val="32"/>
        </w:rPr>
        <w:t>1,492.87</w:t>
      </w:r>
      <w:r>
        <w:rPr>
          <w:rFonts w:hint="eastAsia" w:ascii="仿宋_GB2312" w:eastAsia="仿宋_GB2312"/>
          <w:sz w:val="32"/>
          <w:szCs w:val="32"/>
        </w:rPr>
        <w:t>万元，预决算差异率86.28%，主要原因是：年初只安排人员经费预算，未做项目预算，年中追加项目经费，导致预决算存在差异。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年度一般公共预算财政拨款支出1,492.87万元。按功能分类科目项级科目公开，其中：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2013299其他组织事务支出19.51万元；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2013601行政运行300.55万元；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2013650事业运行97.64万元；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2013699其他共产党事务支出2.00万元；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2030608边海防67.39万元；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2049999其他公共安全支出865.74万元；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2080505机关事业单位基本养老保险缴费支出31.64万元；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2080506机关事业单位职业年金缴费支出5.73万元；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2080799其他就业补助支出1.71万元；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2083001财政代缴城乡居民基本养老保险费支出77.66万元；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2210201住房公积金23.31万元。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551.91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509.16</w:t>
      </w:r>
      <w:r>
        <w:rPr>
          <w:rFonts w:hint="eastAsia" w:ascii="仿宋_GB2312" w:eastAsia="仿宋_GB2312"/>
          <w:sz w:val="32"/>
          <w:szCs w:val="32"/>
        </w:rPr>
        <w:t>万元，包括：基本工资、奖金、机关事业单位基本养老保险缴费、职业年金缴费、其他社会保障缴费、住房公积金、其他工资福利支出、退休费、生活补助、其他对个人和家庭的补助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公用经费42.75万元，包括：办公费、水费、邮电费、取暖费、差旅费、公务接待费、工会经费、公务用车运行维护费、其他商品和服务支出</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hint="eastAsia" w:ascii="仿宋_GB2312" w:eastAsia="仿宋_GB2312"/>
          <w:sz w:val="32"/>
          <w:szCs w:val="32"/>
        </w:rPr>
      </w:pPr>
      <w:r>
        <w:rPr>
          <w:rFonts w:hint="eastAsia" w:ascii="仿宋_GB2312" w:eastAsia="仿宋_GB2312"/>
          <w:sz w:val="32"/>
          <w:szCs w:val="32"/>
        </w:rPr>
        <w:t>2021年度一般公共预算“三公”经费支出决算4.06万元，比上年增加1.47万元，增长56.76%，主要原因是：本年度车辆维修费增加，经费增加。其中：因公出国（境）费支出0.00万元，占0.00%，比上年增加0.00万元，增长0.00%，主要原因是：我单位无因公出国（境）费；公务用车购置及运行维护费支出3.99万元，占98.23%，比上年增加2.46万元，增长160.78%，主要原因是：本年度车辆维修费增加，经费增加；公务接待费支出0.07万元，占1.77%，比上年减少0.99万元，降低93.40%，主要原因是：严格执行八项规定，厉行节约，压减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3.99</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3.99</w:t>
      </w:r>
      <w:r>
        <w:rPr>
          <w:rFonts w:hint="eastAsia" w:ascii="仿宋_GB2312" w:eastAsia="仿宋_GB2312"/>
          <w:sz w:val="32"/>
          <w:szCs w:val="32"/>
        </w:rPr>
        <w:t>万元。公务用车运行维护费开支内容包括：车辆燃油费、保险费、维修费等。公务用车购置数</w:t>
      </w:r>
      <w:r>
        <w:rPr>
          <w:rFonts w:ascii="仿宋_GB2312" w:eastAsia="仿宋_GB2312"/>
          <w:sz w:val="32"/>
          <w:szCs w:val="32"/>
        </w:rPr>
        <w:t>0</w:t>
      </w:r>
      <w:r>
        <w:rPr>
          <w:rFonts w:hint="eastAsia" w:ascii="仿宋_GB2312" w:eastAsia="仿宋_GB2312"/>
          <w:sz w:val="32"/>
          <w:szCs w:val="32"/>
        </w:rPr>
        <w:t>辆，公务用车保有量6辆。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0.07</w:t>
      </w:r>
      <w:r>
        <w:rPr>
          <w:rFonts w:hint="eastAsia" w:ascii="仿宋_GB2312" w:eastAsia="仿宋_GB2312"/>
          <w:sz w:val="32"/>
          <w:szCs w:val="32"/>
        </w:rPr>
        <w:t>万元，开支内容包括接待上级巡检人员的就餐费。单位全年安排的国内公务接待</w:t>
      </w:r>
      <w:r>
        <w:rPr>
          <w:rFonts w:ascii="仿宋_GB2312" w:eastAsia="仿宋_GB2312"/>
          <w:sz w:val="32"/>
          <w:szCs w:val="32"/>
        </w:rPr>
        <w:t>1</w:t>
      </w:r>
      <w:r>
        <w:rPr>
          <w:rFonts w:hint="eastAsia" w:ascii="仿宋_GB2312" w:eastAsia="仿宋_GB2312"/>
          <w:sz w:val="32"/>
          <w:szCs w:val="32"/>
        </w:rPr>
        <w:t>批次，</w:t>
      </w:r>
      <w:r>
        <w:rPr>
          <w:rFonts w:ascii="仿宋_GB2312" w:eastAsia="仿宋_GB2312"/>
          <w:sz w:val="32"/>
          <w:szCs w:val="32"/>
        </w:rPr>
        <w:t>9</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与年初预算数相比情况：一般公共预算“三公”经费支出年初预算数5.36万元，决算数</w:t>
      </w:r>
      <w:r>
        <w:rPr>
          <w:rFonts w:ascii="仿宋_GB2312" w:eastAsia="仿宋_GB2312"/>
          <w:sz w:val="32"/>
          <w:szCs w:val="32"/>
        </w:rPr>
        <w:t>4.06</w:t>
      </w:r>
      <w:r>
        <w:rPr>
          <w:rFonts w:hint="eastAsia" w:ascii="仿宋_GB2312" w:eastAsia="仿宋_GB2312"/>
          <w:sz w:val="32"/>
          <w:szCs w:val="32"/>
        </w:rPr>
        <w:t>万元，预决算差异率-24.25%，主要原因是：严格执行八项规定，厉行节约，压减三公经费。</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预算数3.99万元，决算数3.99万元，预决算差异率0.00%，主要原因是：预决算一致，无差异；</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1.38</w:t>
      </w:r>
      <w:r>
        <w:rPr>
          <w:rFonts w:hint="eastAsia" w:ascii="仿宋_GB2312" w:eastAsia="仿宋_GB2312"/>
          <w:sz w:val="32"/>
          <w:szCs w:val="32"/>
        </w:rPr>
        <w:t>万元，决算数</w:t>
      </w:r>
      <w:r>
        <w:rPr>
          <w:rFonts w:ascii="仿宋_GB2312" w:eastAsia="仿宋_GB2312"/>
          <w:sz w:val="32"/>
          <w:szCs w:val="32"/>
        </w:rPr>
        <w:t>0.07</w:t>
      </w:r>
      <w:r>
        <w:rPr>
          <w:rFonts w:hint="eastAsia" w:ascii="仿宋_GB2312" w:eastAsia="仿宋_GB2312"/>
          <w:sz w:val="32"/>
          <w:szCs w:val="32"/>
        </w:rPr>
        <w:t>万元，预决算差异率-94.93%，主要原因是：严格执行八项规定，厉行节约，压减经费支出。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2021年度中共新疆哈密市伊吾县委员会政法委员会（行政单位和参照公务员法管理事业单位）机关运行经费支出</w:t>
      </w:r>
      <w:r>
        <w:rPr>
          <w:rFonts w:ascii="仿宋_GB2312" w:eastAsia="仿宋_GB2312"/>
          <w:sz w:val="32"/>
          <w:szCs w:val="32"/>
        </w:rPr>
        <w:t>42.75</w:t>
      </w:r>
      <w:r>
        <w:rPr>
          <w:rFonts w:hint="eastAsia" w:ascii="仿宋_GB2312" w:eastAsia="仿宋_GB2312"/>
          <w:sz w:val="32"/>
          <w:szCs w:val="32"/>
        </w:rPr>
        <w:t>万元，比上年增加10.69万元，增长33.34%，主要原因是：本年办公费增加。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8" w:name="_Toc8391"/>
      <w:bookmarkStart w:id="29" w:name="_Toc4591"/>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1,845.10</w:t>
      </w:r>
      <w:r>
        <w:rPr>
          <w:rFonts w:hint="eastAsia" w:ascii="仿宋_GB2312" w:eastAsia="仿宋_GB2312"/>
          <w:sz w:val="32"/>
          <w:szCs w:val="32"/>
        </w:rPr>
        <w:t>（平方米），价值</w:t>
      </w:r>
      <w:r>
        <w:rPr>
          <w:rFonts w:ascii="仿宋_GB2312" w:eastAsia="仿宋_GB2312"/>
          <w:sz w:val="32"/>
          <w:szCs w:val="32"/>
        </w:rPr>
        <w:t>103.35</w:t>
      </w:r>
      <w:r>
        <w:rPr>
          <w:rFonts w:hint="eastAsia" w:ascii="仿宋_GB2312" w:eastAsia="仿宋_GB2312"/>
          <w:sz w:val="32"/>
          <w:szCs w:val="32"/>
        </w:rPr>
        <w:t>万元。车辆</w:t>
      </w:r>
      <w:r>
        <w:rPr>
          <w:rFonts w:ascii="仿宋_GB2312" w:eastAsia="仿宋_GB2312"/>
          <w:sz w:val="32"/>
          <w:szCs w:val="32"/>
        </w:rPr>
        <w:t>7</w:t>
      </w:r>
      <w:r>
        <w:rPr>
          <w:rFonts w:hint="eastAsia" w:ascii="仿宋_GB2312" w:eastAsia="仿宋_GB2312"/>
          <w:sz w:val="32"/>
          <w:szCs w:val="32"/>
        </w:rPr>
        <w:t>辆，价值</w:t>
      </w:r>
      <w:r>
        <w:rPr>
          <w:rFonts w:ascii="仿宋_GB2312" w:eastAsia="仿宋_GB2312"/>
          <w:sz w:val="32"/>
          <w:szCs w:val="32"/>
        </w:rPr>
        <w:t>191.25</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2</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5</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0" w:name="_Toc11283"/>
      <w:bookmarkStart w:id="31" w:name="_Toc435"/>
      <w:r>
        <w:rPr>
          <w:rFonts w:hint="eastAsia" w:ascii="黑体" w:hAnsi="黑体" w:eastAsia="黑体" w:cs="宋体"/>
          <w:bCs/>
          <w:kern w:val="0"/>
          <w:sz w:val="32"/>
          <w:szCs w:val="32"/>
        </w:rPr>
        <w:t>十一、预算绩效的情况说明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2021年度开展预算绩效评价项目0个，共涉及资金0万元。预算绩效管理取得的成效：我单位无项目绩效自评表。发现的问题及原因：我单位无项目绩效自评表。下一步改进措施：我单位无项目绩效自评表。具体项目自评情况附项目支出绩效自评表。</w:t>
      </w:r>
    </w:p>
    <w:p>
      <w:pPr>
        <w:ind w:firstLine="640" w:firstLineChars="200"/>
        <w:jc w:val="center"/>
        <w:outlineLvl w:val="0"/>
        <w:rPr>
          <w:rFonts w:ascii="黑体" w:hAnsi="黑体" w:eastAsia="黑体"/>
          <w:sz w:val="32"/>
          <w:szCs w:val="32"/>
        </w:rPr>
      </w:pPr>
      <w:bookmarkStart w:id="32" w:name="_Toc3250"/>
      <w:bookmarkStart w:id="33" w:name="_Toc24143"/>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4" w:name="_Toc28903"/>
      <w:bookmarkStart w:id="35"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6062"/>
      <w:bookmarkStart w:id="37" w:name="_Toc2183"/>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30364"/>
      <w:bookmarkStart w:id="39" w:name="_Toc24532"/>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21304"/>
      <w:bookmarkStart w:id="41" w:name="_Toc3243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28786"/>
      <w:bookmarkStart w:id="43" w:name="_Toc14238"/>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4869"/>
      <w:bookmarkStart w:id="45" w:name="_Toc10347"/>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8884"/>
      <w:bookmarkStart w:id="47" w:name="_Toc5626"/>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32663"/>
      <w:bookmarkStart w:id="49" w:name="_Toc29106"/>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5453"/>
      <w:bookmarkStart w:id="51" w:name="_Toc764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yMzhiOWUyODkyNmY0NjBkOWVjZTcyOGUyNWMxNmE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50C92"/>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A75B36"/>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935602"/>
    <w:rsid w:val="4DE45AD9"/>
    <w:rsid w:val="4E11500F"/>
    <w:rsid w:val="4EEF1380"/>
    <w:rsid w:val="4F9D7B44"/>
    <w:rsid w:val="50DB5F45"/>
    <w:rsid w:val="512709C0"/>
    <w:rsid w:val="51DB4252"/>
    <w:rsid w:val="52314E57"/>
    <w:rsid w:val="523358A5"/>
    <w:rsid w:val="53350823"/>
    <w:rsid w:val="54054866"/>
    <w:rsid w:val="54F22EA5"/>
    <w:rsid w:val="55516A31"/>
    <w:rsid w:val="57B53470"/>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4262</Words>
  <Characters>4830</Characters>
  <Lines>59</Lines>
  <Paragraphs>16</Paragraphs>
  <TotalTime>2</TotalTime>
  <ScaleCrop>false</ScaleCrop>
  <LinksUpToDate>false</LinksUpToDate>
  <CharactersWithSpaces>4858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NTKO</cp:lastModifiedBy>
  <dcterms:modified xsi:type="dcterms:W3CDTF">2023-09-19T09:55:17Z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59D8F543E4BF4B5F9BA261246CAB409B</vt:lpwstr>
  </property>
</Properties>
</file>