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伊财社〔2022〕11号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2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  <w:t>关于提前下达2022年中央医疗服务与保障能力提升[公立医院综合改革]补助资金预算的通知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spacing w:line="600" w:lineRule="exact"/>
        <w:ind w:right="160"/>
        <w:rPr>
          <w:rFonts w:hint="eastAsia" w:ascii="仿宋_GB2312" w:hAnsi="仿宋_GB2312" w:eastAsia="仿宋_GB2312" w:cs="仿宋_GB2312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伊吾县人民医院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确保我县公立医院改革项目顺利开展，结合我县实际。根据《关于提前下达2021年中央医疗服务与保障能力提升（公立医院综合改革）补助资金预算的通知》（哈市财社［2020］140号）文件精神，此次下达资金154万元列入直达资金管理，此项支出列入2021年政府收支分类科目2100299“其他公立医院支出”，并纳入中央财政直达资金监控系统全程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一、该项直达资金标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识为“01中央直达资金”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，导入直达资金监控系统，并贯穿资金分配、拨付、使用等整个环节，且保持不变。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请你单位收到通知文件后，严格按照直达资金的管理要求拨付、使用直达资金，提高资金的使用效益，并紧密配合财政部门做好直达资金监控系统数据的录入工作，在资金支出后3个工作日将支付信息导入监控系统，按要求及时报送相关进展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望你单位接到通知后，进一步强化责任，确保专款专用，尽快办理项目相关手续，加快支付进度，切实加强资金监管，提高资金使用效益，做好项目绩效相关工作，确保项目顺利实施，对收到资金到本通知后因资金支付进度缓慢，或造成不良后果的部门单位，相关责任由你单位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附件一：提前下达2022年中央医疗服务与保障能力提升[公立医院综合改革]补助资金的分配表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伊吾县财政局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2022年1月3日</w:t>
      </w:r>
    </w:p>
    <w:p/>
    <w:p/>
    <w:p/>
    <w:p/>
    <w:p/>
    <w:p/>
    <w:p/>
    <w:p/>
    <w:p/>
    <w:p>
      <w:bookmarkStart w:id="0" w:name="_GoBack"/>
      <w:bookmarkEnd w:id="0"/>
    </w:p>
    <w:p/>
    <w:p/>
    <w:p/>
    <w:p/>
    <w:p/>
    <w:tbl>
      <w:tblPr>
        <w:tblStyle w:val="2"/>
        <w:tblW w:w="96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3750"/>
        <w:gridCol w:w="46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附件1：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 w:hRule="atLeast"/>
        </w:trPr>
        <w:tc>
          <w:tcPr>
            <w:tcW w:w="9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2020年医疗服务于保障能力提升（公立医院综合改革）中央财政补助资金(第二批)分配表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3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4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补助资金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0" w:hRule="atLeast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伊吾县</w:t>
            </w:r>
          </w:p>
        </w:tc>
        <w:tc>
          <w:tcPr>
            <w:tcW w:w="4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143.22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2"/>
        <w:tblW w:w="84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2"/>
        <w:gridCol w:w="531"/>
        <w:gridCol w:w="1059"/>
        <w:gridCol w:w="606"/>
        <w:gridCol w:w="2059"/>
        <w:gridCol w:w="1943"/>
        <w:gridCol w:w="11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附件2：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4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中央对地方转移支付区域绩效目标表（哈密市伊吾县）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84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rFonts w:eastAsia="宋体"/>
                <w:lang w:val="en-US" w:eastAsia="zh-CN" w:bidi="ar"/>
              </w:rPr>
              <w:t xml:space="preserve">2019 </w:t>
            </w:r>
            <w:r>
              <w:rPr>
                <w:rStyle w:val="4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330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专项名称</w:t>
            </w:r>
          </w:p>
        </w:tc>
        <w:tc>
          <w:tcPr>
            <w:tcW w:w="51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医疗服务能力提升（公立医院综合改革）补助资金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330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县级主管部门</w:t>
            </w:r>
          </w:p>
        </w:tc>
        <w:tc>
          <w:tcPr>
            <w:tcW w:w="51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伊吾县人民医院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330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县级财政部门</w:t>
            </w:r>
          </w:p>
        </w:tc>
        <w:tc>
          <w:tcPr>
            <w:tcW w:w="51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自治区财政厅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19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年度金额：</w:t>
            </w:r>
          </w:p>
        </w:tc>
        <w:tc>
          <w:tcPr>
            <w:tcW w:w="511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143.22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1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总体目标</w:t>
            </w:r>
          </w:p>
        </w:tc>
        <w:tc>
          <w:tcPr>
            <w:tcW w:w="73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动各地落实《关于印发自治区贯彻落实国家“十三五”深化医药卫生体制改革规划工作方案的通知》（新政办发〔2017〕158号）《关于印发自治区深化医药卫生体制改革2018年下半年重点工作任务分工台账的通知》（新政办发〔2018〕120号）《关于做好自治区现代医院管理制度试点的通知》（新卫办发〔2019〕1号）等文件要求，着力推进公立医院综合改革，进一步巩固破除以药补医改革成果，公立医院运行新机制更加完善，建立健全现代医院管理制度，协调推进医疗价格、人事薪酬、药品流通、医保支付方式改革，提高医疗卫生服务质量。医疗卫生服务体系能力明显提升，就医秩序得到改善，患者、医务人员改革满意度逐步提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1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46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3" w:hRule="atLeast"/>
        </w:trPr>
        <w:tc>
          <w:tcPr>
            <w:tcW w:w="1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10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46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指标1：医疗服务收入（不含药品、耗材、检查、化验收入）占公立医院医疗收入的比例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(指标数据来源：卫生健康财务年报)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≥2</w:t>
            </w:r>
            <w:r>
              <w:rPr>
                <w:rStyle w:val="7"/>
                <w:lang w:val="en-US" w:eastAsia="zh-CN" w:bidi="ar"/>
              </w:rPr>
              <w:t>8.9%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3" w:hRule="atLeast"/>
        </w:trPr>
        <w:tc>
          <w:tcPr>
            <w:tcW w:w="1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指标2：公立医院资产负债率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(指标数据来源：卫生健康财务年报)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≤41.8%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1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指标3：财政补助收入占公立医院总支出的比例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(指标数据来源：卫生健康财务年报)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≥1</w:t>
            </w:r>
            <w:r>
              <w:rPr>
                <w:rStyle w:val="7"/>
                <w:lang w:val="en-US" w:eastAsia="zh-CN" w:bidi="ar"/>
              </w:rPr>
              <w:t>5.78%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1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46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指标1：二级公立医院平均住院日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(指标数据来源：卫生健康统计年鉴)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≤8.1天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1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指标2：三级公立医院平均住院日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(指标数据来源：卫生健康统计年鉴)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≤9.4天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3" w:hRule="atLeast"/>
        </w:trPr>
        <w:tc>
          <w:tcPr>
            <w:tcW w:w="1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指标3：开展按病种付费的公立医院数占公立医院总数的比例（指标数据来源：医疗服务月报）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≥58.7%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1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46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指标1：开展章程试点的公立医院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≥20%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1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46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指标1：公立医院百元医疗收入的医疗支出（均不含药品收入）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(指标数据来源：卫生健康财务年报)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≤112.74元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8" w:hRule="atLeast"/>
        </w:trPr>
        <w:tc>
          <w:tcPr>
            <w:tcW w:w="1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46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指标1：基层医疗卫生机构诊疗人次数占医疗卫生机构诊疗总人次数的比例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(指标数据来源：卫生健康统计年鉴)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≥46.27%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1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46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指标1：巩固破除“以药补医”成果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价格（70%）、财政（20%）按比例补偿到位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7" w:hRule="atLeast"/>
        </w:trPr>
        <w:tc>
          <w:tcPr>
            <w:tcW w:w="1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指标2：实现收支平衡（总收入-总支出≥0）的公共医院数占公立医院总数的比例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≥7</w:t>
            </w:r>
            <w:r>
              <w:rPr>
                <w:rStyle w:val="7"/>
                <w:lang w:val="en-US" w:eastAsia="zh-CN" w:bidi="ar"/>
              </w:rPr>
              <w:t>7.78%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7" w:hRule="atLeast"/>
        </w:trPr>
        <w:tc>
          <w:tcPr>
            <w:tcW w:w="1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46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指标1：公立医院门诊患者满意度(指标数据来源：国家卫生健康委全国公立医院满意度调查平台)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≥87.3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7" w:hRule="atLeast"/>
        </w:trPr>
        <w:tc>
          <w:tcPr>
            <w:tcW w:w="1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指标2：公立医院住院患者满意度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(指标数据来源：国家卫生健康委全国公立医院满意度调查平台)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2" w:hRule="atLeast"/>
        </w:trPr>
        <w:tc>
          <w:tcPr>
            <w:tcW w:w="1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指标3：公立医院职工满意度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(指标数据来源：国家卫生健康委全国公立医院满意度调查平台)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≥77.1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24703"/>
    <w:rsid w:val="0217706D"/>
    <w:rsid w:val="04BE311C"/>
    <w:rsid w:val="0DC5584F"/>
    <w:rsid w:val="0EED2428"/>
    <w:rsid w:val="17B60312"/>
    <w:rsid w:val="1DAE223F"/>
    <w:rsid w:val="1DF32870"/>
    <w:rsid w:val="1F91327A"/>
    <w:rsid w:val="214E4CB6"/>
    <w:rsid w:val="26EA1F9D"/>
    <w:rsid w:val="2EEC75CE"/>
    <w:rsid w:val="354B1053"/>
    <w:rsid w:val="511D08D2"/>
    <w:rsid w:val="5C324703"/>
    <w:rsid w:val="610F0352"/>
    <w:rsid w:val="622916A2"/>
    <w:rsid w:val="699D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">
    <w:name w:val="font11"/>
    <w:basedOn w:val="3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6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0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1599</Words>
  <Characters>1715</Characters>
  <Lines>0</Lines>
  <Paragraphs>0</Paragraphs>
  <TotalTime>0</TotalTime>
  <ScaleCrop>false</ScaleCrop>
  <LinksUpToDate>false</LinksUpToDate>
  <CharactersWithSpaces>1757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2021-04-02T05:15:00Z</dcterms:created>
  <dc:creator>Administrator</dc:creator>
  <cp:lastModifiedBy>Administrator</cp:lastModifiedBy>
  <dcterms:modified xsi:type="dcterms:W3CDTF">2022-06-16T12:18:46Z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