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pPr>
    </w:p>
    <w:p>
      <w:pPr>
        <w:snapToGrid w:val="0"/>
        <w:spacing w:line="300" w:lineRule="auto"/>
        <w:ind w:firstLine="1041"/>
        <w:jc w:val="center"/>
        <w:rPr>
          <w:rFonts w:eastAsia="华文中宋"/>
          <w:b/>
          <w:sz w:val="52"/>
          <w:szCs w:val="52"/>
        </w:rPr>
      </w:pPr>
    </w:p>
    <w:p>
      <w:pPr>
        <w:snapToGrid w:val="0"/>
        <w:spacing w:line="300" w:lineRule="auto"/>
        <w:ind w:firstLine="1041"/>
        <w:jc w:val="center"/>
        <w:rPr>
          <w:rFonts w:eastAsia="华文中宋"/>
          <w:b/>
          <w:sz w:val="52"/>
          <w:szCs w:val="52"/>
        </w:rPr>
      </w:pPr>
    </w:p>
    <w:p>
      <w:pPr>
        <w:snapToGrid w:val="0"/>
        <w:spacing w:line="300" w:lineRule="auto"/>
        <w:ind w:firstLine="0" w:firstLineChars="0"/>
        <w:jc w:val="center"/>
        <w:outlineLvl w:val="0"/>
        <w:rPr>
          <w:rFonts w:eastAsia="华文中宋"/>
          <w:b/>
          <w:sz w:val="52"/>
          <w:szCs w:val="52"/>
        </w:rPr>
      </w:pPr>
      <w:bookmarkStart w:id="0" w:name="_Toc21385"/>
      <w:r>
        <w:rPr>
          <w:rFonts w:hint="eastAsia" w:eastAsia="华文中宋"/>
          <w:b/>
          <w:sz w:val="52"/>
          <w:szCs w:val="52"/>
        </w:rPr>
        <w:t>伊吾县“十四五”生态环境保护规划</w:t>
      </w:r>
      <w:bookmarkEnd w:id="0"/>
    </w:p>
    <w:p>
      <w:pPr>
        <w:ind w:firstLine="0" w:firstLineChars="0"/>
        <w:jc w:val="center"/>
        <w:rPr>
          <w:rFonts w:eastAsia="黑体"/>
          <w:b/>
          <w:sz w:val="48"/>
          <w:szCs w:val="48"/>
        </w:rPr>
      </w:pPr>
      <w:r>
        <w:rPr>
          <w:rFonts w:eastAsia="黑体"/>
          <w:b/>
          <w:sz w:val="48"/>
          <w:szCs w:val="48"/>
        </w:rPr>
        <w:t>（2021-2025年）</w:t>
      </w:r>
    </w:p>
    <w:p>
      <w:pPr>
        <w:pStyle w:val="18"/>
        <w:ind w:left="560" w:firstLine="0" w:firstLineChars="0"/>
        <w:rPr>
          <w:rFonts w:eastAsia="黑体"/>
        </w:rPr>
      </w:pPr>
    </w:p>
    <w:p>
      <w:pPr>
        <w:ind w:firstLine="840"/>
        <w:rPr>
          <w:rFonts w:eastAsia="黑体"/>
          <w:sz w:val="42"/>
          <w:szCs w:val="42"/>
        </w:rPr>
      </w:pPr>
    </w:p>
    <w:p>
      <w:pPr>
        <w:pStyle w:val="18"/>
        <w:ind w:left="560" w:firstLine="840"/>
        <w:rPr>
          <w:rFonts w:eastAsia="黑体"/>
          <w:sz w:val="42"/>
          <w:szCs w:val="42"/>
        </w:rPr>
      </w:pPr>
    </w:p>
    <w:p>
      <w:pPr>
        <w:pStyle w:val="12"/>
      </w:pPr>
    </w:p>
    <w:p>
      <w:pPr>
        <w:ind w:firstLine="560"/>
      </w:pPr>
    </w:p>
    <w:p>
      <w:pPr>
        <w:ind w:firstLine="840"/>
        <w:jc w:val="center"/>
        <w:rPr>
          <w:rFonts w:eastAsia="黑体"/>
          <w:sz w:val="42"/>
          <w:szCs w:val="42"/>
        </w:rPr>
      </w:pPr>
    </w:p>
    <w:p>
      <w:pPr>
        <w:ind w:firstLine="840"/>
        <w:jc w:val="center"/>
        <w:rPr>
          <w:rFonts w:eastAsia="黑体"/>
          <w:sz w:val="42"/>
          <w:szCs w:val="42"/>
        </w:rPr>
      </w:pPr>
    </w:p>
    <w:p>
      <w:pPr>
        <w:ind w:firstLine="840"/>
        <w:jc w:val="center"/>
        <w:rPr>
          <w:rFonts w:eastAsia="黑体"/>
          <w:sz w:val="42"/>
          <w:szCs w:val="42"/>
        </w:rPr>
      </w:pPr>
    </w:p>
    <w:p>
      <w:pPr>
        <w:pStyle w:val="10"/>
        <w:ind w:firstLine="840"/>
        <w:rPr>
          <w:rFonts w:eastAsia="黑体"/>
          <w:sz w:val="42"/>
          <w:szCs w:val="42"/>
        </w:rPr>
      </w:pPr>
    </w:p>
    <w:p>
      <w:pPr>
        <w:ind w:firstLine="0" w:firstLineChars="0"/>
      </w:pPr>
    </w:p>
    <w:p>
      <w:pPr>
        <w:ind w:firstLine="840"/>
        <w:jc w:val="center"/>
        <w:rPr>
          <w:rFonts w:eastAsia="黑体"/>
          <w:sz w:val="42"/>
          <w:szCs w:val="42"/>
        </w:rPr>
      </w:pPr>
    </w:p>
    <w:p>
      <w:pPr>
        <w:ind w:firstLine="880"/>
        <w:jc w:val="center"/>
        <w:rPr>
          <w:rFonts w:eastAsia="黑体"/>
          <w:sz w:val="44"/>
          <w:szCs w:val="44"/>
        </w:rPr>
      </w:pPr>
    </w:p>
    <w:p>
      <w:pPr>
        <w:ind w:firstLine="0" w:firstLineChars="0"/>
        <w:jc w:val="center"/>
        <w:rPr>
          <w:rFonts w:eastAsia="黑体"/>
          <w:sz w:val="44"/>
          <w:szCs w:val="44"/>
        </w:rPr>
      </w:pPr>
      <w:r>
        <w:rPr>
          <w:rFonts w:hint="eastAsia" w:eastAsia="黑体"/>
          <w:sz w:val="44"/>
          <w:szCs w:val="44"/>
        </w:rPr>
        <w:t>伊吾县人民政府</w:t>
      </w:r>
    </w:p>
    <w:p>
      <w:pPr>
        <w:ind w:firstLine="0" w:firstLineChars="0"/>
        <w:jc w:val="center"/>
        <w:rPr>
          <w:rFonts w:eastAsia="黑体"/>
          <w:b/>
          <w:sz w:val="44"/>
          <w:szCs w:val="44"/>
        </w:rPr>
      </w:pPr>
      <w:r>
        <w:rPr>
          <w:rFonts w:eastAsia="黑体"/>
          <w:b/>
          <w:sz w:val="44"/>
          <w:szCs w:val="44"/>
        </w:rPr>
        <w:t>二〇二</w:t>
      </w:r>
      <w:r>
        <w:rPr>
          <w:rFonts w:hint="eastAsia" w:eastAsia="黑体"/>
          <w:b/>
          <w:sz w:val="44"/>
          <w:szCs w:val="44"/>
        </w:rPr>
        <w:t>三</w:t>
      </w:r>
      <w:r>
        <w:rPr>
          <w:rFonts w:eastAsia="黑体"/>
          <w:b/>
          <w:sz w:val="44"/>
          <w:szCs w:val="44"/>
        </w:rPr>
        <w:t>年</w:t>
      </w:r>
      <w:r>
        <w:rPr>
          <w:rFonts w:hint="eastAsia" w:eastAsia="黑体"/>
          <w:b/>
          <w:sz w:val="44"/>
          <w:szCs w:val="44"/>
        </w:rPr>
        <w:t>十二</w:t>
      </w:r>
      <w:r>
        <w:rPr>
          <w:rFonts w:eastAsia="黑体"/>
          <w:b/>
          <w:sz w:val="44"/>
          <w:szCs w:val="44"/>
        </w:rPr>
        <w:t>月</w:t>
      </w:r>
      <w:bookmarkStart w:id="1" w:name="_Toc263111659"/>
      <w:bookmarkStart w:id="2" w:name="_Toc263688467"/>
    </w:p>
    <w:bookmarkEnd w:id="1"/>
    <w:bookmarkEnd w:id="2"/>
    <w:p>
      <w:r>
        <w:br w:type="page"/>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br w:type="textWrapping"/>
      </w:r>
    </w:p>
    <w:sdt>
      <w:sdtPr>
        <w:rPr>
          <w:rFonts w:hint="eastAsia" w:ascii="仿宋" w:hAnsi="仿宋" w:cs="仿宋"/>
          <w:b/>
          <w:bCs/>
          <w:szCs w:val="28"/>
        </w:rPr>
        <w:id w:val="147466627"/>
        <w15:color w:val="DBDBDB"/>
        <w:docPartObj>
          <w:docPartGallery w:val="Table of Contents"/>
          <w:docPartUnique/>
        </w:docPartObj>
      </w:sdtPr>
      <w:sdtEndPr>
        <w:rPr>
          <w:rFonts w:hint="eastAsia" w:ascii="Times New Roman" w:hAnsi="Times New Roman" w:cs="Times New Roman"/>
          <w:b/>
          <w:bCs/>
          <w:szCs w:val="24"/>
        </w:rPr>
      </w:sdtEndPr>
      <w:sdtContent>
        <w:p>
          <w:pPr>
            <w:spacing w:line="240" w:lineRule="auto"/>
            <w:ind w:firstLine="0" w:firstLineChars="0"/>
            <w:jc w:val="center"/>
            <w:rPr>
              <w:rFonts w:ascii="黑体" w:hAnsi="黑体" w:eastAsia="黑体" w:cs="仿宋"/>
              <w:sz w:val="32"/>
              <w:szCs w:val="32"/>
            </w:rPr>
          </w:pPr>
          <w:r>
            <w:rPr>
              <w:rFonts w:hint="eastAsia" w:ascii="黑体" w:hAnsi="黑体" w:eastAsia="黑体" w:cs="仿宋"/>
              <w:sz w:val="32"/>
              <w:szCs w:val="32"/>
            </w:rPr>
            <w:t xml:space="preserve">目 </w:t>
          </w:r>
          <w:r>
            <w:rPr>
              <w:rFonts w:ascii="黑体" w:hAnsi="黑体" w:eastAsia="黑体" w:cs="仿宋"/>
              <w:sz w:val="32"/>
              <w:szCs w:val="32"/>
            </w:rPr>
            <w:t xml:space="preserve"> </w:t>
          </w:r>
          <w:r>
            <w:rPr>
              <w:rFonts w:hint="eastAsia" w:ascii="黑体" w:hAnsi="黑体" w:eastAsia="黑体" w:cs="仿宋"/>
              <w:sz w:val="32"/>
              <w:szCs w:val="32"/>
            </w:rPr>
            <w:t>录</w:t>
          </w:r>
        </w:p>
        <w:p>
          <w:pPr>
            <w:pStyle w:val="35"/>
            <w:tabs>
              <w:tab w:val="right" w:leader="dot" w:pos="8306"/>
            </w:tabs>
            <w:rPr>
              <w:rFonts w:eastAsia="楷体"/>
              <w:b/>
              <w:sz w:val="28"/>
              <w:szCs w:val="28"/>
            </w:rPr>
          </w:pPr>
          <w:r>
            <w:rPr>
              <w:rFonts w:eastAsia="仿宋"/>
              <w:sz w:val="28"/>
              <w:szCs w:val="28"/>
            </w:rPr>
            <w:fldChar w:fldCharType="begin"/>
          </w:r>
          <w:r>
            <w:rPr>
              <w:rFonts w:eastAsia="仿宋"/>
              <w:sz w:val="28"/>
              <w:szCs w:val="28"/>
            </w:rPr>
            <w:instrText xml:space="preserve">TOC \o "1-2" \h \u </w:instrText>
          </w:r>
          <w:r>
            <w:rPr>
              <w:rFonts w:eastAsia="仿宋"/>
              <w:sz w:val="28"/>
              <w:szCs w:val="28"/>
            </w:rPr>
            <w:fldChar w:fldCharType="separate"/>
          </w:r>
          <w:r>
            <w:fldChar w:fldCharType="begin"/>
          </w:r>
          <w:r>
            <w:instrText xml:space="preserve"> HYPERLINK \l "_Toc7799" </w:instrText>
          </w:r>
          <w:r>
            <w:fldChar w:fldCharType="separate"/>
          </w:r>
          <w:r>
            <w:rPr>
              <w:rFonts w:eastAsia="楷体"/>
              <w:b/>
              <w:sz w:val="28"/>
              <w:szCs w:val="28"/>
            </w:rPr>
            <w:t>第一章</w:t>
          </w:r>
          <w:r>
            <w:rPr>
              <w:rFonts w:eastAsia="楷体"/>
              <w:b/>
              <w:kern w:val="2"/>
              <w:sz w:val="28"/>
              <w:szCs w:val="28"/>
            </w:rPr>
            <w:t xml:space="preserve"> </w:t>
          </w:r>
          <w:r>
            <w:rPr>
              <w:rFonts w:eastAsia="楷体"/>
              <w:b/>
              <w:sz w:val="28"/>
              <w:szCs w:val="28"/>
            </w:rPr>
            <w:t>发展基础与面临形势</w:t>
          </w:r>
          <w:r>
            <w:rPr>
              <w:rFonts w:eastAsia="楷体"/>
              <w:b/>
              <w:sz w:val="28"/>
              <w:szCs w:val="28"/>
            </w:rPr>
            <w:tab/>
          </w:r>
          <w:r>
            <w:rPr>
              <w:rFonts w:eastAsia="楷体"/>
              <w:b/>
              <w:sz w:val="28"/>
              <w:szCs w:val="28"/>
            </w:rPr>
            <w:fldChar w:fldCharType="begin"/>
          </w:r>
          <w:r>
            <w:rPr>
              <w:rFonts w:eastAsia="楷体"/>
              <w:b/>
              <w:sz w:val="28"/>
              <w:szCs w:val="28"/>
            </w:rPr>
            <w:instrText xml:space="preserve"> PAGEREF _Toc7799 \h </w:instrText>
          </w:r>
          <w:r>
            <w:rPr>
              <w:rFonts w:eastAsia="楷体"/>
              <w:b/>
              <w:sz w:val="28"/>
              <w:szCs w:val="28"/>
            </w:rPr>
            <w:fldChar w:fldCharType="separate"/>
          </w:r>
          <w:r>
            <w:rPr>
              <w:rFonts w:eastAsia="楷体"/>
              <w:b/>
              <w:sz w:val="28"/>
              <w:szCs w:val="28"/>
            </w:rPr>
            <w:t>1</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"_Toc27797" </w:instrText>
          </w:r>
          <w:r>
            <w:fldChar w:fldCharType="separate"/>
          </w:r>
          <w:r>
            <w:rPr>
              <w:rFonts w:eastAsia="楷体"/>
              <w:bCs/>
              <w:sz w:val="28"/>
              <w:szCs w:val="28"/>
            </w:rPr>
            <w:t>第一节 “十三五”生态环境保护成效</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_Toc27797 \h </w:instrText>
          </w:r>
          <w:r>
            <w:rPr>
              <w:rFonts w:eastAsia="楷体"/>
              <w:bCs/>
              <w:sz w:val="28"/>
              <w:szCs w:val="28"/>
            </w:rPr>
            <w:fldChar w:fldCharType="separate"/>
          </w:r>
          <w:r>
            <w:rPr>
              <w:rFonts w:eastAsia="楷体"/>
              <w:bCs/>
              <w:sz w:val="28"/>
              <w:szCs w:val="28"/>
            </w:rPr>
            <w:t>1</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"_Toc20213" </w:instrText>
          </w:r>
          <w:r>
            <w:fldChar w:fldCharType="separate"/>
          </w:r>
          <w:r>
            <w:rPr>
              <w:rFonts w:eastAsia="楷体"/>
              <w:bCs/>
              <w:sz w:val="28"/>
              <w:szCs w:val="28"/>
            </w:rPr>
            <w:t>第二节 存在的问题</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_Toc20213 \h </w:instrText>
          </w:r>
          <w:r>
            <w:rPr>
              <w:rFonts w:eastAsia="楷体"/>
              <w:bCs/>
              <w:sz w:val="28"/>
              <w:szCs w:val="28"/>
            </w:rPr>
            <w:fldChar w:fldCharType="separate"/>
          </w:r>
          <w:r>
            <w:rPr>
              <w:rFonts w:eastAsia="楷体"/>
              <w:bCs/>
              <w:sz w:val="28"/>
              <w:szCs w:val="28"/>
            </w:rPr>
            <w:t>3</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"_Toc30041" </w:instrText>
          </w:r>
          <w:r>
            <w:fldChar w:fldCharType="separate"/>
          </w:r>
          <w:r>
            <w:rPr>
              <w:rFonts w:eastAsia="楷体"/>
              <w:bCs/>
              <w:sz w:val="28"/>
              <w:szCs w:val="28"/>
            </w:rPr>
            <w:t>第三节 面临的机遇</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_Toc30041 \h </w:instrText>
          </w:r>
          <w:r>
            <w:rPr>
              <w:rFonts w:eastAsia="楷体"/>
              <w:bCs/>
              <w:sz w:val="28"/>
              <w:szCs w:val="28"/>
            </w:rPr>
            <w:fldChar w:fldCharType="separate"/>
          </w:r>
          <w:r>
            <w:rPr>
              <w:rFonts w:eastAsia="楷体"/>
              <w:bCs/>
              <w:sz w:val="28"/>
              <w:szCs w:val="28"/>
            </w:rPr>
            <w:t>5</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"_Toc16016" </w:instrText>
          </w:r>
          <w:r>
            <w:fldChar w:fldCharType="separate"/>
          </w:r>
          <w:r>
            <w:rPr>
              <w:rFonts w:eastAsia="楷体"/>
              <w:bCs/>
              <w:sz w:val="28"/>
              <w:szCs w:val="28"/>
            </w:rPr>
            <w:t>第四节 面临的挑战</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_Toc16016 \h </w:instrText>
          </w:r>
          <w:r>
            <w:rPr>
              <w:rFonts w:eastAsia="楷体"/>
              <w:bCs/>
              <w:sz w:val="28"/>
              <w:szCs w:val="28"/>
            </w:rPr>
            <w:fldChar w:fldCharType="separate"/>
          </w:r>
          <w:r>
            <w:rPr>
              <w:rFonts w:eastAsia="楷体"/>
              <w:bCs/>
              <w:sz w:val="28"/>
              <w:szCs w:val="28"/>
            </w:rPr>
            <w:t>7</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"_Toc32499" </w:instrText>
          </w:r>
          <w:r>
            <w:fldChar w:fldCharType="separate"/>
          </w:r>
          <w:r>
            <w:rPr>
              <w:rFonts w:eastAsia="楷体"/>
              <w:b/>
              <w:sz w:val="28"/>
              <w:szCs w:val="28"/>
            </w:rPr>
            <w:t>第二章 总体要求</w:t>
          </w:r>
          <w:r>
            <w:rPr>
              <w:rFonts w:eastAsia="楷体"/>
              <w:b/>
              <w:sz w:val="28"/>
              <w:szCs w:val="28"/>
            </w:rPr>
            <w:tab/>
          </w:r>
          <w:r>
            <w:rPr>
              <w:rFonts w:eastAsia="楷体"/>
              <w:b/>
              <w:sz w:val="28"/>
              <w:szCs w:val="28"/>
            </w:rPr>
            <w:fldChar w:fldCharType="begin"/>
          </w:r>
          <w:r>
            <w:rPr>
              <w:rFonts w:eastAsia="楷体"/>
              <w:b/>
              <w:sz w:val="28"/>
              <w:szCs w:val="28"/>
            </w:rPr>
            <w:instrText xml:space="preserve"> PAGEREF _Toc32499 \h </w:instrText>
          </w:r>
          <w:r>
            <w:rPr>
              <w:rFonts w:eastAsia="楷体"/>
              <w:b/>
              <w:sz w:val="28"/>
              <w:szCs w:val="28"/>
            </w:rPr>
            <w:fldChar w:fldCharType="separate"/>
          </w:r>
          <w:r>
            <w:rPr>
              <w:rFonts w:eastAsia="楷体"/>
              <w:b/>
              <w:sz w:val="28"/>
              <w:szCs w:val="28"/>
            </w:rPr>
            <w:t>8</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"_Toc13858" </w:instrText>
          </w:r>
          <w:r>
            <w:fldChar w:fldCharType="separate"/>
          </w:r>
          <w:r>
            <w:rPr>
              <w:rFonts w:eastAsia="楷体"/>
              <w:bCs/>
              <w:sz w:val="28"/>
              <w:szCs w:val="28"/>
            </w:rPr>
            <w:t>第一节 指导思想</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_Toc13858 \h </w:instrText>
          </w:r>
          <w:r>
            <w:rPr>
              <w:rFonts w:eastAsia="楷体"/>
              <w:bCs/>
              <w:sz w:val="28"/>
              <w:szCs w:val="28"/>
            </w:rPr>
            <w:fldChar w:fldCharType="separate"/>
          </w:r>
          <w:r>
            <w:rPr>
              <w:rFonts w:eastAsia="楷体"/>
              <w:bCs/>
              <w:sz w:val="28"/>
              <w:szCs w:val="28"/>
            </w:rPr>
            <w:t>8</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"_Toc575" </w:instrText>
          </w:r>
          <w:r>
            <w:fldChar w:fldCharType="separate"/>
          </w:r>
          <w:r>
            <w:rPr>
              <w:rFonts w:eastAsia="楷体"/>
              <w:bCs/>
              <w:sz w:val="28"/>
              <w:szCs w:val="28"/>
            </w:rPr>
            <w:t>第二节 基本原则</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_Toc575 \h </w:instrText>
          </w:r>
          <w:r>
            <w:rPr>
              <w:rFonts w:eastAsia="楷体"/>
              <w:bCs/>
              <w:sz w:val="28"/>
              <w:szCs w:val="28"/>
            </w:rPr>
            <w:fldChar w:fldCharType="separate"/>
          </w:r>
          <w:r>
            <w:rPr>
              <w:rFonts w:eastAsia="楷体"/>
              <w:bCs/>
              <w:sz w:val="28"/>
              <w:szCs w:val="28"/>
            </w:rPr>
            <w:t>8</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"_Toc30936" </w:instrText>
          </w:r>
          <w:r>
            <w:fldChar w:fldCharType="separate"/>
          </w:r>
          <w:r>
            <w:rPr>
              <w:rFonts w:eastAsia="楷体"/>
              <w:bCs/>
              <w:sz w:val="28"/>
              <w:szCs w:val="28"/>
            </w:rPr>
            <w:t>第三节 规划目标</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_Toc30936 \h </w:instrText>
          </w:r>
          <w:r>
            <w:rPr>
              <w:rFonts w:eastAsia="楷体"/>
              <w:bCs/>
              <w:sz w:val="28"/>
              <w:szCs w:val="28"/>
            </w:rPr>
            <w:fldChar w:fldCharType="separate"/>
          </w:r>
          <w:r>
            <w:rPr>
              <w:rFonts w:eastAsia="楷体"/>
              <w:bCs/>
              <w:sz w:val="28"/>
              <w:szCs w:val="28"/>
            </w:rPr>
            <w:t>9</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"_Toc13426" </w:instrText>
          </w:r>
          <w:r>
            <w:fldChar w:fldCharType="separate"/>
          </w:r>
          <w:r>
            <w:rPr>
              <w:rFonts w:eastAsia="楷体"/>
              <w:b/>
              <w:sz w:val="28"/>
              <w:szCs w:val="28"/>
            </w:rPr>
            <w:t>第三章 促进绿色低碳发展</w:t>
          </w:r>
          <w:r>
            <w:rPr>
              <w:rFonts w:eastAsia="楷体"/>
              <w:b/>
              <w:sz w:val="28"/>
              <w:szCs w:val="28"/>
            </w:rPr>
            <w:tab/>
          </w:r>
          <w:r>
            <w:rPr>
              <w:rFonts w:eastAsia="楷体"/>
              <w:b/>
              <w:sz w:val="28"/>
              <w:szCs w:val="28"/>
            </w:rPr>
            <w:fldChar w:fldCharType="begin"/>
          </w:r>
          <w:r>
            <w:rPr>
              <w:rFonts w:eastAsia="楷体"/>
              <w:b/>
              <w:sz w:val="28"/>
              <w:szCs w:val="28"/>
            </w:rPr>
            <w:instrText xml:space="preserve"> PAGEREF _Toc13426 \h </w:instrText>
          </w:r>
          <w:r>
            <w:rPr>
              <w:rFonts w:eastAsia="楷体"/>
              <w:b/>
              <w:sz w:val="28"/>
              <w:szCs w:val="28"/>
            </w:rPr>
            <w:fldChar w:fldCharType="separate"/>
          </w:r>
          <w:r>
            <w:rPr>
              <w:rFonts w:eastAsia="楷体"/>
              <w:b/>
              <w:sz w:val="28"/>
              <w:szCs w:val="28"/>
            </w:rPr>
            <w:t>12</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"_Toc21220" </w:instrText>
          </w:r>
          <w:r>
            <w:fldChar w:fldCharType="separate"/>
          </w:r>
          <w:r>
            <w:rPr>
              <w:rFonts w:eastAsia="楷体"/>
              <w:bCs/>
              <w:sz w:val="28"/>
              <w:szCs w:val="28"/>
            </w:rPr>
            <w:t>第一节 完善绿色发展机制</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_Toc21220 \h </w:instrText>
          </w:r>
          <w:r>
            <w:rPr>
              <w:rFonts w:eastAsia="楷体"/>
              <w:bCs/>
              <w:sz w:val="28"/>
              <w:szCs w:val="28"/>
            </w:rPr>
            <w:fldChar w:fldCharType="separate"/>
          </w:r>
          <w:r>
            <w:rPr>
              <w:rFonts w:eastAsia="楷体"/>
              <w:bCs/>
              <w:sz w:val="28"/>
              <w:szCs w:val="28"/>
            </w:rPr>
            <w:t>12</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"_Toc13691" </w:instrText>
          </w:r>
          <w:r>
            <w:fldChar w:fldCharType="separate"/>
          </w:r>
          <w:r>
            <w:rPr>
              <w:rFonts w:eastAsia="楷体"/>
              <w:bCs/>
              <w:sz w:val="28"/>
              <w:szCs w:val="28"/>
            </w:rPr>
            <w:t>第二节 推进产业体系优化升级</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_Toc13691 \h </w:instrText>
          </w:r>
          <w:r>
            <w:rPr>
              <w:rFonts w:eastAsia="楷体"/>
              <w:bCs/>
              <w:sz w:val="28"/>
              <w:szCs w:val="28"/>
            </w:rPr>
            <w:fldChar w:fldCharType="separate"/>
          </w:r>
          <w:r>
            <w:rPr>
              <w:rFonts w:eastAsia="楷体"/>
              <w:bCs/>
              <w:sz w:val="28"/>
              <w:szCs w:val="28"/>
            </w:rPr>
            <w:t>12</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"_Toc32476" </w:instrText>
          </w:r>
          <w:r>
            <w:fldChar w:fldCharType="separate"/>
          </w:r>
          <w:r>
            <w:rPr>
              <w:rFonts w:eastAsia="楷体"/>
              <w:bCs/>
              <w:sz w:val="28"/>
              <w:szCs w:val="28"/>
            </w:rPr>
            <w:t>第三节 构建清洁低碳能源体系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_Toc32476 \h </w:instrText>
          </w:r>
          <w:r>
            <w:rPr>
              <w:rFonts w:eastAsia="楷体"/>
              <w:bCs/>
              <w:sz w:val="28"/>
              <w:szCs w:val="28"/>
            </w:rPr>
            <w:fldChar w:fldCharType="separate"/>
          </w:r>
          <w:r>
            <w:rPr>
              <w:rFonts w:eastAsia="楷体"/>
              <w:bCs/>
              <w:sz w:val="28"/>
              <w:szCs w:val="28"/>
            </w:rPr>
            <w:t>13</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"_Toc3704" </w:instrText>
          </w:r>
          <w:r>
            <w:fldChar w:fldCharType="separate"/>
          </w:r>
          <w:r>
            <w:rPr>
              <w:rFonts w:eastAsia="楷体"/>
              <w:bCs/>
              <w:sz w:val="28"/>
              <w:szCs w:val="28"/>
            </w:rPr>
            <w:t>第四节 完善绿色交通运输体系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_Toc3704 \h </w:instrText>
          </w:r>
          <w:r>
            <w:rPr>
              <w:rFonts w:eastAsia="楷体"/>
              <w:bCs/>
              <w:sz w:val="28"/>
              <w:szCs w:val="28"/>
            </w:rPr>
            <w:fldChar w:fldCharType="separate"/>
          </w:r>
          <w:r>
            <w:rPr>
              <w:rFonts w:eastAsia="楷体"/>
              <w:bCs/>
              <w:sz w:val="28"/>
              <w:szCs w:val="28"/>
            </w:rPr>
            <w:t>15</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"_Toc7899" </w:instrText>
          </w:r>
          <w:r>
            <w:fldChar w:fldCharType="separate"/>
          </w:r>
          <w:r>
            <w:rPr>
              <w:rFonts w:eastAsia="楷体"/>
              <w:b/>
              <w:sz w:val="28"/>
              <w:szCs w:val="28"/>
            </w:rPr>
            <w:t>第四章 控制温室气体排放</w:t>
          </w:r>
          <w:r>
            <w:rPr>
              <w:rFonts w:eastAsia="楷体"/>
              <w:b/>
              <w:sz w:val="28"/>
              <w:szCs w:val="28"/>
            </w:rPr>
            <w:tab/>
          </w:r>
          <w:r>
            <w:rPr>
              <w:rFonts w:eastAsia="楷体"/>
              <w:b/>
              <w:sz w:val="28"/>
              <w:szCs w:val="28"/>
            </w:rPr>
            <w:fldChar w:fldCharType="begin"/>
          </w:r>
          <w:r>
            <w:rPr>
              <w:rFonts w:eastAsia="楷体"/>
              <w:b/>
              <w:sz w:val="28"/>
              <w:szCs w:val="28"/>
            </w:rPr>
            <w:instrText xml:space="preserve"> PAGEREF _Toc7899 \h </w:instrText>
          </w:r>
          <w:r>
            <w:rPr>
              <w:rFonts w:eastAsia="楷体"/>
              <w:b/>
              <w:sz w:val="28"/>
              <w:szCs w:val="28"/>
            </w:rPr>
            <w:fldChar w:fldCharType="separate"/>
          </w:r>
          <w:r>
            <w:rPr>
              <w:rFonts w:eastAsia="楷体"/>
              <w:b/>
              <w:sz w:val="28"/>
              <w:szCs w:val="28"/>
            </w:rPr>
            <w:t>16</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"_Toc26813" </w:instrText>
          </w:r>
          <w:r>
            <w:fldChar w:fldCharType="separate"/>
          </w:r>
          <w:r>
            <w:rPr>
              <w:rFonts w:eastAsia="楷体"/>
              <w:bCs/>
              <w:sz w:val="28"/>
              <w:szCs w:val="28"/>
            </w:rPr>
            <w:t>第一节 推进温室气体排放控制</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_Toc26813 \h </w:instrText>
          </w:r>
          <w:r>
            <w:rPr>
              <w:rFonts w:eastAsia="楷体"/>
              <w:bCs/>
              <w:sz w:val="28"/>
              <w:szCs w:val="28"/>
            </w:rPr>
            <w:fldChar w:fldCharType="separate"/>
          </w:r>
          <w:r>
            <w:rPr>
              <w:rFonts w:eastAsia="楷体"/>
              <w:bCs/>
              <w:sz w:val="28"/>
              <w:szCs w:val="28"/>
            </w:rPr>
            <w:t>16</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"_Toc12257" </w:instrText>
          </w:r>
          <w:r>
            <w:fldChar w:fldCharType="separate"/>
          </w:r>
          <w:r>
            <w:rPr>
              <w:rFonts w:eastAsia="楷体"/>
              <w:bCs/>
              <w:sz w:val="28"/>
              <w:szCs w:val="28"/>
            </w:rPr>
            <w:t>第二节 积极应对气候变化</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_Toc12257 \h </w:instrText>
          </w:r>
          <w:r>
            <w:rPr>
              <w:rFonts w:eastAsia="楷体"/>
              <w:bCs/>
              <w:sz w:val="28"/>
              <w:szCs w:val="28"/>
            </w:rPr>
            <w:fldChar w:fldCharType="separate"/>
          </w:r>
          <w:r>
            <w:rPr>
              <w:rFonts w:eastAsia="楷体"/>
              <w:bCs/>
              <w:sz w:val="28"/>
              <w:szCs w:val="28"/>
            </w:rPr>
            <w:t>17</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"_Toc27210" </w:instrText>
          </w:r>
          <w:r>
            <w:fldChar w:fldCharType="separate"/>
          </w:r>
          <w:r>
            <w:rPr>
              <w:rFonts w:eastAsia="楷体"/>
              <w:bCs/>
              <w:sz w:val="28"/>
              <w:szCs w:val="28"/>
            </w:rPr>
            <w:t>第三节 践行绿色低碳生活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_Toc27210 \h </w:instrText>
          </w:r>
          <w:r>
            <w:rPr>
              <w:rFonts w:eastAsia="楷体"/>
              <w:bCs/>
              <w:sz w:val="28"/>
              <w:szCs w:val="28"/>
            </w:rPr>
            <w:fldChar w:fldCharType="separate"/>
          </w:r>
          <w:r>
            <w:rPr>
              <w:rFonts w:eastAsia="楷体"/>
              <w:bCs/>
              <w:sz w:val="28"/>
              <w:szCs w:val="28"/>
            </w:rPr>
            <w:t>17</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"_Toc20743" </w:instrText>
          </w:r>
          <w:r>
            <w:fldChar w:fldCharType="separate"/>
          </w:r>
          <w:r>
            <w:rPr>
              <w:rFonts w:eastAsia="楷体"/>
              <w:b/>
              <w:sz w:val="28"/>
              <w:szCs w:val="28"/>
            </w:rPr>
            <w:t>第五章 持续改善空气环境质量</w:t>
          </w:r>
          <w:r>
            <w:rPr>
              <w:rFonts w:eastAsia="楷体"/>
              <w:b/>
              <w:sz w:val="28"/>
              <w:szCs w:val="28"/>
            </w:rPr>
            <w:tab/>
          </w:r>
          <w:r>
            <w:rPr>
              <w:rFonts w:eastAsia="楷体"/>
              <w:b/>
              <w:sz w:val="28"/>
              <w:szCs w:val="28"/>
            </w:rPr>
            <w:fldChar w:fldCharType="begin"/>
          </w:r>
          <w:r>
            <w:rPr>
              <w:rFonts w:eastAsia="楷体"/>
              <w:b/>
              <w:sz w:val="28"/>
              <w:szCs w:val="28"/>
            </w:rPr>
            <w:instrText xml:space="preserve"> PAGEREF _Toc20743 \h </w:instrText>
          </w:r>
          <w:r>
            <w:rPr>
              <w:rFonts w:eastAsia="楷体"/>
              <w:b/>
              <w:sz w:val="28"/>
              <w:szCs w:val="28"/>
            </w:rPr>
            <w:fldChar w:fldCharType="separate"/>
          </w:r>
          <w:r>
            <w:rPr>
              <w:rFonts w:eastAsia="楷体"/>
              <w:b/>
              <w:sz w:val="28"/>
              <w:szCs w:val="28"/>
            </w:rPr>
            <w:t>19</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"_Toc19094" </w:instrText>
          </w:r>
          <w:r>
            <w:fldChar w:fldCharType="separate"/>
          </w:r>
          <w:r>
            <w:rPr>
              <w:rFonts w:eastAsia="楷体"/>
              <w:bCs/>
              <w:sz w:val="28"/>
              <w:szCs w:val="28"/>
            </w:rPr>
            <w:t>第一节 强化重污染天气应对</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_Toc19094 \h </w:instrText>
          </w:r>
          <w:r>
            <w:rPr>
              <w:rFonts w:eastAsia="楷体"/>
              <w:bCs/>
              <w:sz w:val="28"/>
              <w:szCs w:val="28"/>
            </w:rPr>
            <w:fldChar w:fldCharType="separate"/>
          </w:r>
          <w:r>
            <w:rPr>
              <w:rFonts w:eastAsia="楷体"/>
              <w:bCs/>
              <w:sz w:val="28"/>
              <w:szCs w:val="28"/>
            </w:rPr>
            <w:t>19</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"_Toc17794" </w:instrText>
          </w:r>
          <w:r>
            <w:fldChar w:fldCharType="separate"/>
          </w:r>
          <w:r>
            <w:rPr>
              <w:rFonts w:eastAsia="楷体"/>
              <w:bCs/>
              <w:sz w:val="28"/>
              <w:szCs w:val="28"/>
            </w:rPr>
            <w:t>第二节 持续推进污染源深度治理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_Toc17794 \h </w:instrText>
          </w:r>
          <w:r>
            <w:rPr>
              <w:rFonts w:eastAsia="楷体"/>
              <w:bCs/>
              <w:sz w:val="28"/>
              <w:szCs w:val="28"/>
            </w:rPr>
            <w:fldChar w:fldCharType="separate"/>
          </w:r>
          <w:r>
            <w:rPr>
              <w:rFonts w:eastAsia="楷体"/>
              <w:bCs/>
              <w:sz w:val="28"/>
              <w:szCs w:val="28"/>
            </w:rPr>
            <w:t>19</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"_Toc2849" </w:instrText>
          </w:r>
          <w:r>
            <w:fldChar w:fldCharType="separate"/>
          </w:r>
          <w:r>
            <w:rPr>
              <w:rFonts w:eastAsia="楷体"/>
              <w:bCs/>
              <w:sz w:val="28"/>
              <w:szCs w:val="28"/>
            </w:rPr>
            <w:t>第三节 加强其他污染治理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_Toc2849 \h </w:instrText>
          </w:r>
          <w:r>
            <w:rPr>
              <w:rFonts w:eastAsia="楷体"/>
              <w:bCs/>
              <w:sz w:val="28"/>
              <w:szCs w:val="28"/>
            </w:rPr>
            <w:fldChar w:fldCharType="separate"/>
          </w:r>
          <w:r>
            <w:rPr>
              <w:rFonts w:eastAsia="楷体"/>
              <w:bCs/>
              <w:sz w:val="28"/>
              <w:szCs w:val="28"/>
            </w:rPr>
            <w:t>21</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"_Toc3979" </w:instrText>
          </w:r>
          <w:r>
            <w:fldChar w:fldCharType="separate"/>
          </w:r>
          <w:r>
            <w:rPr>
              <w:rFonts w:eastAsia="楷体"/>
              <w:b/>
              <w:sz w:val="28"/>
              <w:szCs w:val="28"/>
            </w:rPr>
            <w:t>第六章 稳步提升水生态环境</w:t>
          </w:r>
          <w:r>
            <w:rPr>
              <w:rFonts w:eastAsia="楷体"/>
              <w:b/>
              <w:sz w:val="28"/>
              <w:szCs w:val="28"/>
            </w:rPr>
            <w:tab/>
          </w:r>
          <w:r>
            <w:rPr>
              <w:rFonts w:eastAsia="楷体"/>
              <w:b/>
              <w:sz w:val="28"/>
              <w:szCs w:val="28"/>
            </w:rPr>
            <w:fldChar w:fldCharType="begin"/>
          </w:r>
          <w:r>
            <w:rPr>
              <w:rFonts w:eastAsia="楷体"/>
              <w:b/>
              <w:sz w:val="28"/>
              <w:szCs w:val="28"/>
            </w:rPr>
            <w:instrText xml:space="preserve"> PAGEREF _Toc3979 \h </w:instrText>
          </w:r>
          <w:r>
            <w:rPr>
              <w:rFonts w:eastAsia="楷体"/>
              <w:b/>
              <w:sz w:val="28"/>
              <w:szCs w:val="28"/>
            </w:rPr>
            <w:fldChar w:fldCharType="separate"/>
          </w:r>
          <w:r>
            <w:rPr>
              <w:rFonts w:eastAsia="楷体"/>
              <w:b/>
              <w:sz w:val="28"/>
              <w:szCs w:val="28"/>
            </w:rPr>
            <w:t>22</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"_Toc22829" </w:instrText>
          </w:r>
          <w:r>
            <w:fldChar w:fldCharType="separate"/>
          </w:r>
          <w:r>
            <w:rPr>
              <w:rFonts w:eastAsia="楷体"/>
              <w:bCs/>
              <w:sz w:val="28"/>
              <w:szCs w:val="28"/>
            </w:rPr>
            <w:t>第一节 强化水生态环境系统治理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_Toc22829 \h </w:instrText>
          </w:r>
          <w:r>
            <w:rPr>
              <w:rFonts w:eastAsia="楷体"/>
              <w:bCs/>
              <w:sz w:val="28"/>
              <w:szCs w:val="28"/>
            </w:rPr>
            <w:fldChar w:fldCharType="separate"/>
          </w:r>
          <w:r>
            <w:rPr>
              <w:rFonts w:eastAsia="楷体"/>
              <w:bCs/>
              <w:sz w:val="28"/>
              <w:szCs w:val="28"/>
            </w:rPr>
            <w:t>22</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"_Toc13211" </w:instrText>
          </w:r>
          <w:r>
            <w:fldChar w:fldCharType="separate"/>
          </w:r>
          <w:r>
            <w:rPr>
              <w:rFonts w:eastAsia="楷体"/>
              <w:bCs/>
              <w:sz w:val="28"/>
              <w:szCs w:val="28"/>
            </w:rPr>
            <w:t>第二节 持续深化水污染治理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_Toc13211 \h </w:instrText>
          </w:r>
          <w:r>
            <w:rPr>
              <w:rFonts w:eastAsia="楷体"/>
              <w:bCs/>
              <w:sz w:val="28"/>
              <w:szCs w:val="28"/>
            </w:rPr>
            <w:fldChar w:fldCharType="separate"/>
          </w:r>
          <w:r>
            <w:rPr>
              <w:rFonts w:eastAsia="楷体"/>
              <w:bCs/>
              <w:sz w:val="28"/>
              <w:szCs w:val="28"/>
            </w:rPr>
            <w:t>22</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"_Toc2689" </w:instrText>
          </w:r>
          <w:r>
            <w:fldChar w:fldCharType="separate"/>
          </w:r>
          <w:r>
            <w:rPr>
              <w:rFonts w:eastAsia="楷体"/>
              <w:bCs/>
              <w:sz w:val="28"/>
              <w:szCs w:val="28"/>
            </w:rPr>
            <w:t>第三节 积极推动水生态恢复</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_Toc2689 \h </w:instrText>
          </w:r>
          <w:r>
            <w:rPr>
              <w:rFonts w:eastAsia="楷体"/>
              <w:bCs/>
              <w:sz w:val="28"/>
              <w:szCs w:val="28"/>
            </w:rPr>
            <w:fldChar w:fldCharType="separate"/>
          </w:r>
          <w:r>
            <w:rPr>
              <w:rFonts w:eastAsia="楷体"/>
              <w:bCs/>
              <w:sz w:val="28"/>
              <w:szCs w:val="28"/>
            </w:rPr>
            <w:t>23</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"_Toc28336" </w:instrText>
          </w:r>
          <w:r>
            <w:fldChar w:fldCharType="separate"/>
          </w:r>
          <w:r>
            <w:rPr>
              <w:rFonts w:eastAsia="楷体"/>
              <w:bCs/>
              <w:sz w:val="28"/>
              <w:szCs w:val="28"/>
            </w:rPr>
            <w:t>第四节 防范水环境风险</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_Toc28336 \h </w:instrText>
          </w:r>
          <w:r>
            <w:rPr>
              <w:rFonts w:eastAsia="楷体"/>
              <w:bCs/>
              <w:sz w:val="28"/>
              <w:szCs w:val="28"/>
            </w:rPr>
            <w:fldChar w:fldCharType="separate"/>
          </w:r>
          <w:r>
            <w:rPr>
              <w:rFonts w:eastAsia="楷体"/>
              <w:bCs/>
              <w:sz w:val="28"/>
              <w:szCs w:val="28"/>
            </w:rPr>
            <w:t>23</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"_Toc30003" </w:instrText>
          </w:r>
          <w:r>
            <w:fldChar w:fldCharType="separate"/>
          </w:r>
          <w:r>
            <w:rPr>
              <w:rFonts w:eastAsia="楷体"/>
              <w:b/>
              <w:sz w:val="28"/>
              <w:szCs w:val="28"/>
            </w:rPr>
            <w:t>第七章 保障土壤及地下水环境安全</w:t>
          </w:r>
          <w:r>
            <w:rPr>
              <w:rFonts w:eastAsia="楷体"/>
              <w:b/>
              <w:sz w:val="28"/>
              <w:szCs w:val="28"/>
            </w:rPr>
            <w:tab/>
          </w:r>
          <w:r>
            <w:rPr>
              <w:rFonts w:eastAsia="楷体"/>
              <w:b/>
              <w:sz w:val="28"/>
              <w:szCs w:val="28"/>
            </w:rPr>
            <w:fldChar w:fldCharType="begin"/>
          </w:r>
          <w:r>
            <w:rPr>
              <w:rFonts w:eastAsia="楷体"/>
              <w:b/>
              <w:sz w:val="28"/>
              <w:szCs w:val="28"/>
            </w:rPr>
            <w:instrText xml:space="preserve"> PAGEREF _Toc30003 \h </w:instrText>
          </w:r>
          <w:r>
            <w:rPr>
              <w:rFonts w:eastAsia="楷体"/>
              <w:b/>
              <w:sz w:val="28"/>
              <w:szCs w:val="28"/>
            </w:rPr>
            <w:fldChar w:fldCharType="separate"/>
          </w:r>
          <w:r>
            <w:rPr>
              <w:rFonts w:eastAsia="楷体"/>
              <w:b/>
              <w:sz w:val="28"/>
              <w:szCs w:val="28"/>
            </w:rPr>
            <w:t>25</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"_Toc16230" </w:instrText>
          </w:r>
          <w:r>
            <w:fldChar w:fldCharType="separate"/>
          </w:r>
          <w:r>
            <w:rPr>
              <w:rFonts w:eastAsia="楷体"/>
              <w:bCs/>
              <w:sz w:val="28"/>
              <w:szCs w:val="28"/>
            </w:rPr>
            <w:t>第一节 加强土壤和地下水污染源系统防控</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_Toc16230 \h </w:instrText>
          </w:r>
          <w:r>
            <w:rPr>
              <w:rFonts w:eastAsia="楷体"/>
              <w:bCs/>
              <w:sz w:val="28"/>
              <w:szCs w:val="28"/>
            </w:rPr>
            <w:fldChar w:fldCharType="separate"/>
          </w:r>
          <w:r>
            <w:rPr>
              <w:rFonts w:eastAsia="楷体"/>
              <w:bCs/>
              <w:sz w:val="28"/>
              <w:szCs w:val="28"/>
            </w:rPr>
            <w:t>25</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"_Toc8902" </w:instrText>
          </w:r>
          <w:r>
            <w:fldChar w:fldCharType="separate"/>
          </w:r>
          <w:r>
            <w:rPr>
              <w:rFonts w:eastAsia="楷体"/>
              <w:bCs/>
              <w:sz w:val="28"/>
              <w:szCs w:val="28"/>
            </w:rPr>
            <w:t>第二节 推进土壤安全利用</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_Toc8902 \h </w:instrText>
          </w:r>
          <w:r>
            <w:rPr>
              <w:rFonts w:eastAsia="楷体"/>
              <w:bCs/>
              <w:sz w:val="28"/>
              <w:szCs w:val="28"/>
            </w:rPr>
            <w:fldChar w:fldCharType="separate"/>
          </w:r>
          <w:r>
            <w:rPr>
              <w:rFonts w:eastAsia="楷体"/>
              <w:bCs/>
              <w:sz w:val="28"/>
              <w:szCs w:val="28"/>
            </w:rPr>
            <w:t>25</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"_Toc24876" </w:instrText>
          </w:r>
          <w:r>
            <w:fldChar w:fldCharType="separate"/>
          </w:r>
          <w:r>
            <w:rPr>
              <w:rFonts w:eastAsia="楷体"/>
              <w:b/>
              <w:sz w:val="28"/>
              <w:szCs w:val="28"/>
            </w:rPr>
            <w:t>第八章 改善农村环境</w:t>
          </w:r>
          <w:r>
            <w:rPr>
              <w:rFonts w:eastAsia="楷体"/>
              <w:b/>
              <w:sz w:val="28"/>
              <w:szCs w:val="28"/>
            </w:rPr>
            <w:tab/>
          </w:r>
          <w:r>
            <w:rPr>
              <w:rFonts w:eastAsia="楷体"/>
              <w:b/>
              <w:sz w:val="28"/>
              <w:szCs w:val="28"/>
            </w:rPr>
            <w:fldChar w:fldCharType="begin"/>
          </w:r>
          <w:r>
            <w:rPr>
              <w:rFonts w:eastAsia="楷体"/>
              <w:b/>
              <w:sz w:val="28"/>
              <w:szCs w:val="28"/>
            </w:rPr>
            <w:instrText xml:space="preserve"> PAGEREF _Toc24876 \h </w:instrText>
          </w:r>
          <w:r>
            <w:rPr>
              <w:rFonts w:eastAsia="楷体"/>
              <w:b/>
              <w:sz w:val="28"/>
              <w:szCs w:val="28"/>
            </w:rPr>
            <w:fldChar w:fldCharType="separate"/>
          </w:r>
          <w:r>
            <w:rPr>
              <w:rFonts w:eastAsia="楷体"/>
              <w:b/>
              <w:sz w:val="28"/>
              <w:szCs w:val="28"/>
            </w:rPr>
            <w:t>27</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"_Toc8473" </w:instrText>
          </w:r>
          <w:r>
            <w:fldChar w:fldCharType="separate"/>
          </w:r>
          <w:r>
            <w:rPr>
              <w:rFonts w:eastAsia="楷体"/>
              <w:bCs/>
              <w:sz w:val="28"/>
              <w:szCs w:val="28"/>
            </w:rPr>
            <w:t>第一节 加强农业生产污染治理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_Toc8473 \h </w:instrText>
          </w:r>
          <w:r>
            <w:rPr>
              <w:rFonts w:eastAsia="楷体"/>
              <w:bCs/>
              <w:sz w:val="28"/>
              <w:szCs w:val="28"/>
            </w:rPr>
            <w:fldChar w:fldCharType="separate"/>
          </w:r>
          <w:r>
            <w:rPr>
              <w:rFonts w:eastAsia="楷体"/>
              <w:bCs/>
              <w:sz w:val="28"/>
              <w:szCs w:val="28"/>
            </w:rPr>
            <w:t>27</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"_Toc4580" </w:instrText>
          </w:r>
          <w:r>
            <w:fldChar w:fldCharType="separate"/>
          </w:r>
          <w:r>
            <w:rPr>
              <w:rFonts w:eastAsia="楷体"/>
              <w:bCs/>
              <w:sz w:val="28"/>
              <w:szCs w:val="28"/>
            </w:rPr>
            <w:t>第二节 推进农村人居环境治理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_Toc4580 \h </w:instrText>
          </w:r>
          <w:r>
            <w:rPr>
              <w:rFonts w:eastAsia="楷体"/>
              <w:bCs/>
              <w:sz w:val="28"/>
              <w:szCs w:val="28"/>
            </w:rPr>
            <w:fldChar w:fldCharType="separate"/>
          </w:r>
          <w:r>
            <w:rPr>
              <w:rFonts w:eastAsia="楷体"/>
              <w:bCs/>
              <w:sz w:val="28"/>
              <w:szCs w:val="28"/>
            </w:rPr>
            <w:t>27</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"_Toc2048" </w:instrText>
          </w:r>
          <w:r>
            <w:fldChar w:fldCharType="separate"/>
          </w:r>
          <w:r>
            <w:rPr>
              <w:rFonts w:eastAsia="楷体"/>
              <w:b/>
              <w:sz w:val="28"/>
              <w:szCs w:val="28"/>
            </w:rPr>
            <w:t>第九章 加强生态系统保护</w:t>
          </w:r>
          <w:r>
            <w:rPr>
              <w:rFonts w:eastAsia="楷体"/>
              <w:b/>
              <w:sz w:val="28"/>
              <w:szCs w:val="28"/>
            </w:rPr>
            <w:tab/>
          </w:r>
          <w:r>
            <w:rPr>
              <w:rFonts w:eastAsia="楷体"/>
              <w:b/>
              <w:sz w:val="28"/>
              <w:szCs w:val="28"/>
            </w:rPr>
            <w:fldChar w:fldCharType="begin"/>
          </w:r>
          <w:r>
            <w:rPr>
              <w:rFonts w:eastAsia="楷体"/>
              <w:b/>
              <w:sz w:val="28"/>
              <w:szCs w:val="28"/>
            </w:rPr>
            <w:instrText xml:space="preserve"> PAGEREF _Toc2048 \h </w:instrText>
          </w:r>
          <w:r>
            <w:rPr>
              <w:rFonts w:eastAsia="楷体"/>
              <w:b/>
              <w:sz w:val="28"/>
              <w:szCs w:val="28"/>
            </w:rPr>
            <w:fldChar w:fldCharType="separate"/>
          </w:r>
          <w:r>
            <w:rPr>
              <w:rFonts w:eastAsia="楷体"/>
              <w:b/>
              <w:sz w:val="28"/>
              <w:szCs w:val="28"/>
            </w:rPr>
            <w:t>29</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"_Toc32165" </w:instrText>
          </w:r>
          <w:r>
            <w:fldChar w:fldCharType="separate"/>
          </w:r>
          <w:r>
            <w:rPr>
              <w:rFonts w:eastAsia="楷体"/>
              <w:bCs/>
              <w:sz w:val="28"/>
              <w:szCs w:val="28"/>
            </w:rPr>
            <w:t>第一节 提升生态系统质量和稳定性</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_Toc32165 \h </w:instrText>
          </w:r>
          <w:r>
            <w:rPr>
              <w:rFonts w:eastAsia="楷体"/>
              <w:bCs/>
              <w:sz w:val="28"/>
              <w:szCs w:val="28"/>
            </w:rPr>
            <w:fldChar w:fldCharType="separate"/>
          </w:r>
          <w:r>
            <w:rPr>
              <w:rFonts w:eastAsia="楷体"/>
              <w:bCs/>
              <w:sz w:val="28"/>
              <w:szCs w:val="28"/>
            </w:rPr>
            <w:t>29</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"_Toc16512" </w:instrText>
          </w:r>
          <w:r>
            <w:fldChar w:fldCharType="separate"/>
          </w:r>
          <w:r>
            <w:rPr>
              <w:rFonts w:eastAsia="楷体"/>
              <w:bCs/>
              <w:sz w:val="28"/>
              <w:szCs w:val="28"/>
            </w:rPr>
            <w:t>第二节 加强生物多样性保护</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_Toc16512 \h </w:instrText>
          </w:r>
          <w:r>
            <w:rPr>
              <w:rFonts w:eastAsia="楷体"/>
              <w:bCs/>
              <w:sz w:val="28"/>
              <w:szCs w:val="28"/>
            </w:rPr>
            <w:fldChar w:fldCharType="separate"/>
          </w:r>
          <w:r>
            <w:rPr>
              <w:rFonts w:eastAsia="楷体"/>
              <w:bCs/>
              <w:sz w:val="28"/>
              <w:szCs w:val="28"/>
            </w:rPr>
            <w:t>29</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"_Toc18815" </w:instrText>
          </w:r>
          <w:r>
            <w:fldChar w:fldCharType="separate"/>
          </w:r>
          <w:r>
            <w:rPr>
              <w:rFonts w:eastAsia="楷体"/>
              <w:bCs/>
              <w:sz w:val="28"/>
              <w:szCs w:val="28"/>
            </w:rPr>
            <w:t>第三节 强化生态保护监管</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_Toc18815 \h </w:instrText>
          </w:r>
          <w:r>
            <w:rPr>
              <w:rFonts w:eastAsia="楷体"/>
              <w:bCs/>
              <w:sz w:val="28"/>
              <w:szCs w:val="28"/>
            </w:rPr>
            <w:fldChar w:fldCharType="separate"/>
          </w:r>
          <w:r>
            <w:rPr>
              <w:rFonts w:eastAsia="楷体"/>
              <w:bCs/>
              <w:sz w:val="28"/>
              <w:szCs w:val="28"/>
            </w:rPr>
            <w:t>30</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"_Toc17152" </w:instrText>
          </w:r>
          <w:r>
            <w:fldChar w:fldCharType="separate"/>
          </w:r>
          <w:r>
            <w:rPr>
              <w:rFonts w:eastAsia="楷体"/>
              <w:b/>
              <w:sz w:val="28"/>
              <w:szCs w:val="28"/>
            </w:rPr>
            <w:t>第十章 强化环境风险防控</w:t>
          </w:r>
          <w:r>
            <w:rPr>
              <w:rFonts w:eastAsia="楷体"/>
              <w:b/>
              <w:sz w:val="28"/>
              <w:szCs w:val="28"/>
            </w:rPr>
            <w:tab/>
          </w:r>
          <w:r>
            <w:rPr>
              <w:rFonts w:eastAsia="楷体"/>
              <w:b/>
              <w:sz w:val="28"/>
              <w:szCs w:val="28"/>
            </w:rPr>
            <w:fldChar w:fldCharType="begin"/>
          </w:r>
          <w:r>
            <w:rPr>
              <w:rFonts w:eastAsia="楷体"/>
              <w:b/>
              <w:sz w:val="28"/>
              <w:szCs w:val="28"/>
            </w:rPr>
            <w:instrText xml:space="preserve"> PAGEREF _Toc17152 \h </w:instrText>
          </w:r>
          <w:r>
            <w:rPr>
              <w:rFonts w:eastAsia="楷体"/>
              <w:b/>
              <w:sz w:val="28"/>
              <w:szCs w:val="28"/>
            </w:rPr>
            <w:fldChar w:fldCharType="separate"/>
          </w:r>
          <w:r>
            <w:rPr>
              <w:rFonts w:eastAsia="楷体"/>
              <w:b/>
              <w:sz w:val="28"/>
              <w:szCs w:val="28"/>
            </w:rPr>
            <w:t>31</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"_Toc15729" </w:instrText>
          </w:r>
          <w:r>
            <w:fldChar w:fldCharType="separate"/>
          </w:r>
          <w:r>
            <w:rPr>
              <w:rFonts w:eastAsia="楷体"/>
              <w:bCs/>
              <w:sz w:val="28"/>
              <w:szCs w:val="28"/>
            </w:rPr>
            <w:t>第一节 加强危险废物收集处理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_Toc15729 \h </w:instrText>
          </w:r>
          <w:r>
            <w:rPr>
              <w:rFonts w:eastAsia="楷体"/>
              <w:bCs/>
              <w:sz w:val="28"/>
              <w:szCs w:val="28"/>
            </w:rPr>
            <w:fldChar w:fldCharType="separate"/>
          </w:r>
          <w:r>
            <w:rPr>
              <w:rFonts w:eastAsia="楷体"/>
              <w:bCs/>
              <w:sz w:val="28"/>
              <w:szCs w:val="28"/>
            </w:rPr>
            <w:t>31</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"_Toc27633" </w:instrText>
          </w:r>
          <w:r>
            <w:fldChar w:fldCharType="separate"/>
          </w:r>
          <w:r>
            <w:rPr>
              <w:rFonts w:eastAsia="楷体"/>
              <w:bCs/>
              <w:sz w:val="28"/>
              <w:szCs w:val="28"/>
            </w:rPr>
            <w:t>第二节 推进矿山企业循环发展</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_Toc27633 \h </w:instrText>
          </w:r>
          <w:r>
            <w:rPr>
              <w:rFonts w:eastAsia="楷体"/>
              <w:bCs/>
              <w:sz w:val="28"/>
              <w:szCs w:val="28"/>
            </w:rPr>
            <w:fldChar w:fldCharType="separate"/>
          </w:r>
          <w:r>
            <w:rPr>
              <w:rFonts w:eastAsia="楷体"/>
              <w:bCs/>
              <w:sz w:val="28"/>
              <w:szCs w:val="28"/>
            </w:rPr>
            <w:t>32</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"_Toc20205" </w:instrText>
          </w:r>
          <w:r>
            <w:fldChar w:fldCharType="separate"/>
          </w:r>
          <w:r>
            <w:rPr>
              <w:rFonts w:eastAsia="楷体"/>
              <w:bCs/>
              <w:sz w:val="28"/>
              <w:szCs w:val="28"/>
            </w:rPr>
            <w:t>第三节 推动固体废物减量化资源化</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_Toc20205 \h </w:instrText>
          </w:r>
          <w:r>
            <w:rPr>
              <w:rFonts w:eastAsia="楷体"/>
              <w:bCs/>
              <w:sz w:val="28"/>
              <w:szCs w:val="28"/>
            </w:rPr>
            <w:fldChar w:fldCharType="separate"/>
          </w:r>
          <w:r>
            <w:rPr>
              <w:rFonts w:eastAsia="楷体"/>
              <w:bCs/>
              <w:sz w:val="28"/>
              <w:szCs w:val="28"/>
            </w:rPr>
            <w:t>33</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"_Toc17075" </w:instrText>
          </w:r>
          <w:r>
            <w:fldChar w:fldCharType="separate"/>
          </w:r>
          <w:r>
            <w:rPr>
              <w:rFonts w:eastAsia="楷体"/>
              <w:bCs/>
              <w:sz w:val="28"/>
              <w:szCs w:val="28"/>
            </w:rPr>
            <w:t>第四节 重视新污染物治理</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_Toc17075 \h </w:instrText>
          </w:r>
          <w:r>
            <w:rPr>
              <w:rFonts w:eastAsia="楷体"/>
              <w:bCs/>
              <w:sz w:val="28"/>
              <w:szCs w:val="28"/>
            </w:rPr>
            <w:fldChar w:fldCharType="separate"/>
          </w:r>
          <w:r>
            <w:rPr>
              <w:rFonts w:eastAsia="楷体"/>
              <w:bCs/>
              <w:sz w:val="28"/>
              <w:szCs w:val="28"/>
            </w:rPr>
            <w:t>34</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"_Toc6304" </w:instrText>
          </w:r>
          <w:r>
            <w:fldChar w:fldCharType="separate"/>
          </w:r>
          <w:r>
            <w:rPr>
              <w:rFonts w:eastAsia="楷体"/>
              <w:bCs/>
              <w:sz w:val="28"/>
              <w:szCs w:val="28"/>
            </w:rPr>
            <w:t>第五节 强化环境风险预警与应急</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_Toc6304 \h </w:instrText>
          </w:r>
          <w:r>
            <w:rPr>
              <w:rFonts w:eastAsia="楷体"/>
              <w:bCs/>
              <w:sz w:val="28"/>
              <w:szCs w:val="28"/>
            </w:rPr>
            <w:fldChar w:fldCharType="separate"/>
          </w:r>
          <w:r>
            <w:rPr>
              <w:rFonts w:eastAsia="楷体"/>
              <w:bCs/>
              <w:sz w:val="28"/>
              <w:szCs w:val="28"/>
            </w:rPr>
            <w:t>34</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"_Toc11470" </w:instrText>
          </w:r>
          <w:r>
            <w:fldChar w:fldCharType="separate"/>
          </w:r>
          <w:r>
            <w:rPr>
              <w:rFonts w:eastAsia="楷体"/>
              <w:bCs/>
              <w:sz w:val="28"/>
              <w:szCs w:val="28"/>
            </w:rPr>
            <w:t>第六节 提高核与辐射安全水平</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_Toc11470 \h </w:instrText>
          </w:r>
          <w:r>
            <w:rPr>
              <w:rFonts w:eastAsia="楷体"/>
              <w:bCs/>
              <w:sz w:val="28"/>
              <w:szCs w:val="28"/>
            </w:rPr>
            <w:fldChar w:fldCharType="separate"/>
          </w:r>
          <w:r>
            <w:rPr>
              <w:rFonts w:eastAsia="楷体"/>
              <w:bCs/>
              <w:sz w:val="28"/>
              <w:szCs w:val="28"/>
            </w:rPr>
            <w:t>35</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"_Toc29015" </w:instrText>
          </w:r>
          <w:r>
            <w:fldChar w:fldCharType="separate"/>
          </w:r>
          <w:r>
            <w:rPr>
              <w:rFonts w:eastAsia="楷体"/>
              <w:b/>
              <w:sz w:val="28"/>
              <w:szCs w:val="28"/>
            </w:rPr>
            <w:t>第十一章 提升环境监管水平</w:t>
          </w:r>
          <w:r>
            <w:rPr>
              <w:rFonts w:eastAsia="楷体"/>
              <w:b/>
              <w:sz w:val="28"/>
              <w:szCs w:val="28"/>
            </w:rPr>
            <w:tab/>
          </w:r>
          <w:r>
            <w:rPr>
              <w:rFonts w:eastAsia="楷体"/>
              <w:b/>
              <w:sz w:val="28"/>
              <w:szCs w:val="28"/>
            </w:rPr>
            <w:fldChar w:fldCharType="begin"/>
          </w:r>
          <w:r>
            <w:rPr>
              <w:rFonts w:eastAsia="楷体"/>
              <w:b/>
              <w:sz w:val="28"/>
              <w:szCs w:val="28"/>
            </w:rPr>
            <w:instrText xml:space="preserve"> PAGEREF _Toc29015 \h </w:instrText>
          </w:r>
          <w:r>
            <w:rPr>
              <w:rFonts w:eastAsia="楷体"/>
              <w:b/>
              <w:sz w:val="28"/>
              <w:szCs w:val="28"/>
            </w:rPr>
            <w:fldChar w:fldCharType="separate"/>
          </w:r>
          <w:r>
            <w:rPr>
              <w:rFonts w:eastAsia="楷体"/>
              <w:b/>
              <w:sz w:val="28"/>
              <w:szCs w:val="28"/>
            </w:rPr>
            <w:t>36</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"_Toc6063" </w:instrText>
          </w:r>
          <w:r>
            <w:fldChar w:fldCharType="separate"/>
          </w:r>
          <w:r>
            <w:rPr>
              <w:rFonts w:eastAsia="楷体"/>
              <w:bCs/>
              <w:sz w:val="28"/>
              <w:szCs w:val="28"/>
            </w:rPr>
            <w:t>第一节 持续提升环境质量监测能力建设</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_Toc6063 \h </w:instrText>
          </w:r>
          <w:r>
            <w:rPr>
              <w:rFonts w:eastAsia="楷体"/>
              <w:bCs/>
              <w:sz w:val="28"/>
              <w:szCs w:val="28"/>
            </w:rPr>
            <w:fldChar w:fldCharType="separate"/>
          </w:r>
          <w:r>
            <w:rPr>
              <w:rFonts w:eastAsia="楷体"/>
              <w:bCs/>
              <w:sz w:val="28"/>
              <w:szCs w:val="28"/>
            </w:rPr>
            <w:t>36</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"_Toc9020" </w:instrText>
          </w:r>
          <w:r>
            <w:fldChar w:fldCharType="separate"/>
          </w:r>
          <w:r>
            <w:rPr>
              <w:rFonts w:eastAsia="楷体"/>
              <w:bCs/>
              <w:sz w:val="28"/>
              <w:szCs w:val="28"/>
            </w:rPr>
            <w:t>第二节 全面加强污染源监测监控</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_Toc9020 \h </w:instrText>
          </w:r>
          <w:r>
            <w:rPr>
              <w:rFonts w:eastAsia="楷体"/>
              <w:bCs/>
              <w:sz w:val="28"/>
              <w:szCs w:val="28"/>
            </w:rPr>
            <w:fldChar w:fldCharType="separate"/>
          </w:r>
          <w:r>
            <w:rPr>
              <w:rFonts w:eastAsia="楷体"/>
              <w:bCs/>
              <w:sz w:val="28"/>
              <w:szCs w:val="28"/>
            </w:rPr>
            <w:t>36</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"_Toc13704" </w:instrText>
          </w:r>
          <w:r>
            <w:fldChar w:fldCharType="separate"/>
          </w:r>
          <w:r>
            <w:rPr>
              <w:rFonts w:eastAsia="楷体"/>
              <w:bCs/>
              <w:sz w:val="28"/>
              <w:szCs w:val="28"/>
            </w:rPr>
            <w:t>第三节 加强综合执法能力建设</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_Toc13704 \h </w:instrText>
          </w:r>
          <w:r>
            <w:rPr>
              <w:rFonts w:eastAsia="楷体"/>
              <w:bCs/>
              <w:sz w:val="28"/>
              <w:szCs w:val="28"/>
            </w:rPr>
            <w:fldChar w:fldCharType="separate"/>
          </w:r>
          <w:r>
            <w:rPr>
              <w:rFonts w:eastAsia="楷体"/>
              <w:bCs/>
              <w:sz w:val="28"/>
              <w:szCs w:val="28"/>
            </w:rPr>
            <w:t>37</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"_Toc3515" </w:instrText>
          </w:r>
          <w:r>
            <w:fldChar w:fldCharType="separate"/>
          </w:r>
          <w:r>
            <w:rPr>
              <w:rFonts w:eastAsia="楷体"/>
              <w:b/>
              <w:sz w:val="28"/>
              <w:szCs w:val="28"/>
            </w:rPr>
            <w:t>第十二章 建设现代环境治理体系</w:t>
          </w:r>
          <w:r>
            <w:rPr>
              <w:rFonts w:eastAsia="楷体"/>
              <w:b/>
              <w:sz w:val="28"/>
              <w:szCs w:val="28"/>
            </w:rPr>
            <w:tab/>
          </w:r>
          <w:r>
            <w:rPr>
              <w:rFonts w:eastAsia="楷体"/>
              <w:b/>
              <w:sz w:val="28"/>
              <w:szCs w:val="28"/>
            </w:rPr>
            <w:fldChar w:fldCharType="begin"/>
          </w:r>
          <w:r>
            <w:rPr>
              <w:rFonts w:eastAsia="楷体"/>
              <w:b/>
              <w:sz w:val="28"/>
              <w:szCs w:val="28"/>
            </w:rPr>
            <w:instrText xml:space="preserve"> PAGEREF _Toc3515 \h </w:instrText>
          </w:r>
          <w:r>
            <w:rPr>
              <w:rFonts w:eastAsia="楷体"/>
              <w:b/>
              <w:sz w:val="28"/>
              <w:szCs w:val="28"/>
            </w:rPr>
            <w:fldChar w:fldCharType="separate"/>
          </w:r>
          <w:r>
            <w:rPr>
              <w:rFonts w:eastAsia="楷体"/>
              <w:b/>
              <w:sz w:val="28"/>
              <w:szCs w:val="28"/>
            </w:rPr>
            <w:t>38</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"_Toc3596" </w:instrText>
          </w:r>
          <w:r>
            <w:fldChar w:fldCharType="separate"/>
          </w:r>
          <w:r>
            <w:rPr>
              <w:rFonts w:eastAsia="楷体"/>
              <w:bCs/>
              <w:sz w:val="28"/>
              <w:szCs w:val="28"/>
            </w:rPr>
            <w:t>第一节 健全环境治理领导责任体系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_Toc3596 \h </w:instrText>
          </w:r>
          <w:r>
            <w:rPr>
              <w:rFonts w:eastAsia="楷体"/>
              <w:bCs/>
              <w:sz w:val="28"/>
              <w:szCs w:val="28"/>
            </w:rPr>
            <w:fldChar w:fldCharType="separate"/>
          </w:r>
          <w:r>
            <w:rPr>
              <w:rFonts w:eastAsia="楷体"/>
              <w:bCs/>
              <w:sz w:val="28"/>
              <w:szCs w:val="28"/>
            </w:rPr>
            <w:t>38</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"_Toc4047" </w:instrText>
          </w:r>
          <w:r>
            <w:fldChar w:fldCharType="separate"/>
          </w:r>
          <w:r>
            <w:rPr>
              <w:rFonts w:eastAsia="楷体"/>
              <w:bCs/>
              <w:sz w:val="28"/>
              <w:szCs w:val="28"/>
            </w:rPr>
            <w:t>第二节 健全环境治理企业责任体系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_Toc4047 \h </w:instrText>
          </w:r>
          <w:r>
            <w:rPr>
              <w:rFonts w:eastAsia="楷体"/>
              <w:bCs/>
              <w:sz w:val="28"/>
              <w:szCs w:val="28"/>
            </w:rPr>
            <w:fldChar w:fldCharType="separate"/>
          </w:r>
          <w:r>
            <w:rPr>
              <w:rFonts w:eastAsia="楷体"/>
              <w:bCs/>
              <w:sz w:val="28"/>
              <w:szCs w:val="28"/>
            </w:rPr>
            <w:t>38</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"_Toc27155" </w:instrText>
          </w:r>
          <w:r>
            <w:fldChar w:fldCharType="separate"/>
          </w:r>
          <w:r>
            <w:rPr>
              <w:rFonts w:eastAsia="楷体"/>
              <w:bCs/>
              <w:sz w:val="28"/>
              <w:szCs w:val="28"/>
            </w:rPr>
            <w:t>第三节 健全环境治理全民行动体系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_Toc27155 \h </w:instrText>
          </w:r>
          <w:r>
            <w:rPr>
              <w:rFonts w:eastAsia="楷体"/>
              <w:bCs/>
              <w:sz w:val="28"/>
              <w:szCs w:val="28"/>
            </w:rPr>
            <w:fldChar w:fldCharType="separate"/>
          </w:r>
          <w:r>
            <w:rPr>
              <w:rFonts w:eastAsia="楷体"/>
              <w:bCs/>
              <w:sz w:val="28"/>
              <w:szCs w:val="28"/>
            </w:rPr>
            <w:t>39</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"_Toc17807" </w:instrText>
          </w:r>
          <w:r>
            <w:fldChar w:fldCharType="separate"/>
          </w:r>
          <w:r>
            <w:rPr>
              <w:rFonts w:eastAsia="楷体"/>
              <w:bCs/>
              <w:sz w:val="28"/>
              <w:szCs w:val="28"/>
            </w:rPr>
            <w:t>第四节 健全环境治理监管体系</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_Toc17807 \h </w:instrText>
          </w:r>
          <w:r>
            <w:rPr>
              <w:rFonts w:eastAsia="楷体"/>
              <w:bCs/>
              <w:sz w:val="28"/>
              <w:szCs w:val="28"/>
            </w:rPr>
            <w:fldChar w:fldCharType="separate"/>
          </w:r>
          <w:r>
            <w:rPr>
              <w:rFonts w:eastAsia="楷体"/>
              <w:bCs/>
              <w:sz w:val="28"/>
              <w:szCs w:val="28"/>
            </w:rPr>
            <w:t>40</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"_Toc6517" </w:instrText>
          </w:r>
          <w:r>
            <w:fldChar w:fldCharType="separate"/>
          </w:r>
          <w:r>
            <w:rPr>
              <w:rFonts w:eastAsia="楷体"/>
              <w:b/>
              <w:sz w:val="28"/>
              <w:szCs w:val="28"/>
            </w:rPr>
            <w:t>第十三章 建立规划实施保障机制</w:t>
          </w:r>
          <w:r>
            <w:rPr>
              <w:rFonts w:eastAsia="楷体"/>
              <w:b/>
              <w:sz w:val="28"/>
              <w:szCs w:val="28"/>
            </w:rPr>
            <w:tab/>
          </w:r>
          <w:r>
            <w:rPr>
              <w:rFonts w:eastAsia="楷体"/>
              <w:b/>
              <w:sz w:val="28"/>
              <w:szCs w:val="28"/>
            </w:rPr>
            <w:fldChar w:fldCharType="begin"/>
          </w:r>
          <w:r>
            <w:rPr>
              <w:rFonts w:eastAsia="楷体"/>
              <w:b/>
              <w:sz w:val="28"/>
              <w:szCs w:val="28"/>
            </w:rPr>
            <w:instrText xml:space="preserve"> PAGEREF _Toc6517 \h </w:instrText>
          </w:r>
          <w:r>
            <w:rPr>
              <w:rFonts w:eastAsia="楷体"/>
              <w:b/>
              <w:sz w:val="28"/>
              <w:szCs w:val="28"/>
            </w:rPr>
            <w:fldChar w:fldCharType="separate"/>
          </w:r>
          <w:r>
            <w:rPr>
              <w:rFonts w:eastAsia="楷体"/>
              <w:b/>
              <w:sz w:val="28"/>
              <w:szCs w:val="28"/>
            </w:rPr>
            <w:t>41</w:t>
          </w:r>
          <w:r>
            <w:rPr>
              <w:rFonts w:eastAsia="楷体"/>
              <w:b/>
              <w:sz w:val="28"/>
              <w:szCs w:val="28"/>
            </w:rPr>
            <w:fldChar w:fldCharType="end"/>
          </w:r>
          <w:r>
            <w:rPr>
              <w:rFonts w:eastAsia="楷体"/>
              <w:b/>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"_Toc15142" </w:instrText>
          </w:r>
          <w:r>
            <w:fldChar w:fldCharType="separate"/>
          </w:r>
          <w:r>
            <w:rPr>
              <w:rFonts w:eastAsia="楷体"/>
              <w:bCs/>
              <w:sz w:val="28"/>
              <w:szCs w:val="28"/>
            </w:rPr>
            <w:t>第一节 加强组织领导</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_Toc15142 \h </w:instrText>
          </w:r>
          <w:r>
            <w:rPr>
              <w:rFonts w:eastAsia="楷体"/>
              <w:bCs/>
              <w:sz w:val="28"/>
              <w:szCs w:val="28"/>
            </w:rPr>
            <w:fldChar w:fldCharType="separate"/>
          </w:r>
          <w:r>
            <w:rPr>
              <w:rFonts w:eastAsia="楷体"/>
              <w:bCs/>
              <w:sz w:val="28"/>
              <w:szCs w:val="28"/>
            </w:rPr>
            <w:t>41</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"_Toc19607" </w:instrText>
          </w:r>
          <w:r>
            <w:fldChar w:fldCharType="separate"/>
          </w:r>
          <w:r>
            <w:rPr>
              <w:rFonts w:eastAsia="楷体"/>
              <w:bCs/>
              <w:sz w:val="28"/>
              <w:szCs w:val="28"/>
            </w:rPr>
            <w:t>第二节 加大资金投入</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_Toc19607 \h </w:instrText>
          </w:r>
          <w:r>
            <w:rPr>
              <w:rFonts w:eastAsia="楷体"/>
              <w:bCs/>
              <w:sz w:val="28"/>
              <w:szCs w:val="28"/>
            </w:rPr>
            <w:fldChar w:fldCharType="separate"/>
          </w:r>
          <w:r>
            <w:rPr>
              <w:rFonts w:eastAsia="楷体"/>
              <w:bCs/>
              <w:sz w:val="28"/>
              <w:szCs w:val="28"/>
            </w:rPr>
            <w:t>41</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"_Toc2215" </w:instrText>
          </w:r>
          <w:r>
            <w:fldChar w:fldCharType="separate"/>
          </w:r>
          <w:r>
            <w:rPr>
              <w:rFonts w:eastAsia="楷体"/>
              <w:bCs/>
              <w:sz w:val="28"/>
              <w:szCs w:val="28"/>
            </w:rPr>
            <w:t>第三节 强化宣传引导</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_Toc2215 \h </w:instrText>
          </w:r>
          <w:r>
            <w:rPr>
              <w:rFonts w:eastAsia="楷体"/>
              <w:bCs/>
              <w:sz w:val="28"/>
              <w:szCs w:val="28"/>
            </w:rPr>
            <w:fldChar w:fldCharType="separate"/>
          </w:r>
          <w:r>
            <w:rPr>
              <w:rFonts w:eastAsia="楷体"/>
              <w:bCs/>
              <w:sz w:val="28"/>
              <w:szCs w:val="28"/>
            </w:rPr>
            <w:t>41</w:t>
          </w:r>
          <w:r>
            <w:rPr>
              <w:rFonts w:eastAsia="楷体"/>
              <w:bCs/>
              <w:sz w:val="28"/>
              <w:szCs w:val="28"/>
            </w:rPr>
            <w:fldChar w:fldCharType="end"/>
          </w:r>
          <w:r>
            <w:rPr>
              <w:rFonts w:eastAsia="楷体"/>
              <w:bCs/>
              <w:sz w:val="28"/>
              <w:szCs w:val="28"/>
            </w:rPr>
            <w:fldChar w:fldCharType="end"/>
          </w:r>
        </w:p>
        <w:p>
          <w:pPr>
            <w:pStyle w:val="36"/>
            <w:tabs>
              <w:tab w:val="right" w:leader="dot" w:pos="8306"/>
            </w:tabs>
            <w:ind w:left="560"/>
            <w:rPr>
              <w:rFonts w:eastAsia="楷体"/>
              <w:bCs/>
              <w:sz w:val="28"/>
              <w:szCs w:val="28"/>
            </w:rPr>
          </w:pPr>
          <w:r>
            <w:fldChar w:fldCharType="begin"/>
          </w:r>
          <w:r>
            <w:instrText xml:space="preserve"> HYPERLINK \l "_Toc18302" </w:instrText>
          </w:r>
          <w:r>
            <w:fldChar w:fldCharType="separate"/>
          </w:r>
          <w:r>
            <w:rPr>
              <w:rFonts w:eastAsia="楷体"/>
              <w:bCs/>
              <w:sz w:val="28"/>
              <w:szCs w:val="28"/>
            </w:rPr>
            <w:t>第四节 强化绩效评估考核</w:t>
          </w:r>
          <w:r>
            <w:rPr>
              <w:rFonts w:eastAsia="楷体"/>
              <w:bCs/>
              <w:sz w:val="28"/>
              <w:szCs w:val="28"/>
            </w:rPr>
            <w:tab/>
          </w:r>
          <w:r>
            <w:rPr>
              <w:rFonts w:eastAsia="楷体"/>
              <w:bCs/>
              <w:sz w:val="28"/>
              <w:szCs w:val="28"/>
            </w:rPr>
            <w:fldChar w:fldCharType="begin"/>
          </w:r>
          <w:r>
            <w:rPr>
              <w:rFonts w:eastAsia="楷体"/>
              <w:bCs/>
              <w:sz w:val="28"/>
              <w:szCs w:val="28"/>
            </w:rPr>
            <w:instrText xml:space="preserve"> PAGEREF _Toc18302 \h </w:instrText>
          </w:r>
          <w:r>
            <w:rPr>
              <w:rFonts w:eastAsia="楷体"/>
              <w:bCs/>
              <w:sz w:val="28"/>
              <w:szCs w:val="28"/>
            </w:rPr>
            <w:fldChar w:fldCharType="separate"/>
          </w:r>
          <w:r>
            <w:rPr>
              <w:rFonts w:eastAsia="楷体"/>
              <w:bCs/>
              <w:sz w:val="28"/>
              <w:szCs w:val="28"/>
            </w:rPr>
            <w:t>42</w:t>
          </w:r>
          <w:r>
            <w:rPr>
              <w:rFonts w:eastAsia="楷体"/>
              <w:bCs/>
              <w:sz w:val="28"/>
              <w:szCs w:val="28"/>
            </w:rPr>
            <w:fldChar w:fldCharType="end"/>
          </w:r>
          <w:r>
            <w:rPr>
              <w:rFonts w:eastAsia="楷体"/>
              <w:bCs/>
              <w:sz w:val="28"/>
              <w:szCs w:val="28"/>
            </w:rPr>
            <w:fldChar w:fldCharType="end"/>
          </w:r>
        </w:p>
        <w:p>
          <w:pPr>
            <w:pStyle w:val="35"/>
            <w:tabs>
              <w:tab w:val="right" w:leader="dot" w:pos="8306"/>
            </w:tabs>
            <w:rPr>
              <w:rFonts w:eastAsia="楷体"/>
              <w:b/>
              <w:sz w:val="28"/>
              <w:szCs w:val="28"/>
            </w:rPr>
          </w:pPr>
          <w:r>
            <w:fldChar w:fldCharType="begin"/>
          </w:r>
          <w:r>
            <w:instrText xml:space="preserve"> HYPERLINK \l "_Toc9557" </w:instrText>
          </w:r>
          <w:r>
            <w:fldChar w:fldCharType="separate"/>
          </w:r>
          <w:r>
            <w:rPr>
              <w:rFonts w:eastAsia="楷体"/>
              <w:b/>
              <w:sz w:val="28"/>
              <w:szCs w:val="28"/>
            </w:rPr>
            <w:t>附件一  重大工程</w:t>
          </w:r>
          <w:r>
            <w:rPr>
              <w:rFonts w:eastAsia="楷体"/>
              <w:b/>
              <w:sz w:val="28"/>
              <w:szCs w:val="28"/>
            </w:rPr>
            <w:tab/>
          </w:r>
          <w:r>
            <w:rPr>
              <w:rFonts w:eastAsia="楷体"/>
              <w:b/>
              <w:sz w:val="28"/>
              <w:szCs w:val="28"/>
            </w:rPr>
            <w:fldChar w:fldCharType="begin"/>
          </w:r>
          <w:r>
            <w:rPr>
              <w:rFonts w:eastAsia="楷体"/>
              <w:b/>
              <w:sz w:val="28"/>
              <w:szCs w:val="28"/>
            </w:rPr>
            <w:instrText xml:space="preserve"> PAGEREF _Toc9557 \h </w:instrText>
          </w:r>
          <w:r>
            <w:rPr>
              <w:rFonts w:eastAsia="楷体"/>
              <w:b/>
              <w:sz w:val="28"/>
              <w:szCs w:val="28"/>
            </w:rPr>
            <w:fldChar w:fldCharType="separate"/>
          </w:r>
          <w:r>
            <w:rPr>
              <w:rFonts w:eastAsia="楷体"/>
              <w:b/>
              <w:sz w:val="28"/>
              <w:szCs w:val="28"/>
            </w:rPr>
            <w:t>43</w:t>
          </w:r>
          <w:r>
            <w:rPr>
              <w:rFonts w:eastAsia="楷体"/>
              <w:b/>
              <w:sz w:val="28"/>
              <w:szCs w:val="28"/>
            </w:rPr>
            <w:fldChar w:fldCharType="end"/>
          </w:r>
          <w:r>
            <w:rPr>
              <w:rFonts w:eastAsia="楷体"/>
              <w:b/>
              <w:sz w:val="28"/>
              <w:szCs w:val="28"/>
            </w:rPr>
            <w:fldChar w:fldCharType="end"/>
          </w:r>
        </w:p>
        <w:p>
          <w:pPr>
            <w:ind w:firstLine="0" w:firstLineChars="0"/>
            <w:rPr>
              <w:b/>
              <w:szCs w:val="28"/>
            </w:rPr>
          </w:pPr>
          <w:r>
            <w:rPr>
              <w:b/>
              <w:szCs w:val="28"/>
            </w:rPr>
            <w:fldChar w:fldCharType="end"/>
          </w:r>
        </w:p>
        <w:p>
          <w:pPr>
            <w:rPr>
              <w:b/>
              <w:szCs w:val="28"/>
            </w:rPr>
          </w:pPr>
          <w:r>
            <w:rPr>
              <w:b/>
              <w:szCs w:val="28"/>
            </w:rPr>
            <w:br w:type="page"/>
          </w:r>
        </w:p>
        <w:p>
          <w:pPr>
            <w:ind w:firstLine="0" w:firstLineChars="0"/>
            <w:sectPr>
              <w:footerReference r:id="rId11" w:type="default"/>
              <w:pgSz w:w="11906" w:h="16838"/>
              <w:pgMar w:top="1440" w:right="1800" w:bottom="1440" w:left="1800" w:header="851" w:footer="992" w:gutter="0"/>
              <w:pgNumType w:fmt="upperRoman" w:start="1"/>
              <w:cols w:space="425" w:num="1"/>
              <w:docGrid w:type="lines" w:linePitch="312" w:charSpace="0"/>
            </w:sectPr>
          </w:pPr>
        </w:p>
      </w:sdtContent>
    </w:sdt>
    <w:p>
      <w:pPr>
        <w:ind w:firstLine="560"/>
      </w:pPr>
      <w:r>
        <w:rPr>
          <w:rFonts w:hint="eastAsia"/>
        </w:rPr>
        <w:t>“十四五”时期是开启全面建设社会主义现代化国家新征程、向第二个百年奋斗目标进军的第一个五年</w:t>
      </w:r>
      <w:r>
        <w:rPr>
          <w:rFonts w:hint="eastAsia"/>
          <w:lang w:eastAsia="zh-CN"/>
        </w:rPr>
        <w:t>，</w:t>
      </w:r>
      <w:r>
        <w:rPr>
          <w:rFonts w:hint="eastAsia"/>
        </w:rPr>
        <w:t>是伊吾贯彻落实新时代党的治疆方略，加快打造生态文明建设样板区的关键五年。为深入贯彻习近平生态文明思想，推进区域经济高质量发展与生态环境高水平保护，根据国家《“十四五”生态环境保护规划》《新疆生态环境保护“十四五”规划》《哈密市生态环境保护“十四五”规划》《伊吾县国民经济和社会发展第十四个五年规划和2035年远景目标纲要》的总体部署，制定本规划。</w:t>
      </w:r>
    </w:p>
    <w:p>
      <w:pPr>
        <w:pStyle w:val="3"/>
        <w:ind w:firstLine="0" w:firstLineChars="0"/>
        <w:jc w:val="center"/>
        <w:rPr>
          <w:sz w:val="32"/>
          <w:szCs w:val="32"/>
        </w:rPr>
      </w:pPr>
      <w:bookmarkStart w:id="3" w:name="_Toc21993"/>
      <w:bookmarkStart w:id="4" w:name="_Toc7799"/>
      <w:r>
        <w:rPr>
          <w:rFonts w:hint="eastAsia"/>
          <w:sz w:val="32"/>
          <w:szCs w:val="32"/>
        </w:rPr>
        <w:t>第一章</w:t>
      </w:r>
      <w:r>
        <w:rPr>
          <w:rStyle w:val="23"/>
          <w:rFonts w:hint="eastAsia"/>
          <w:b w:val="0"/>
          <w:kern w:val="2"/>
          <w:sz w:val="32"/>
          <w:szCs w:val="32"/>
        </w:rPr>
        <w:t xml:space="preserve"> </w:t>
      </w:r>
      <w:r>
        <w:rPr>
          <w:rFonts w:hint="eastAsia"/>
          <w:sz w:val="32"/>
          <w:szCs w:val="32"/>
        </w:rPr>
        <w:t>发展基础与面临形势</w:t>
      </w:r>
      <w:bookmarkEnd w:id="3"/>
      <w:bookmarkEnd w:id="4"/>
    </w:p>
    <w:p>
      <w:pPr>
        <w:widowControl/>
        <w:ind w:firstLine="0" w:firstLineChars="0"/>
        <w:jc w:val="center"/>
        <w:outlineLvl w:val="1"/>
        <w:rPr>
          <w:b/>
          <w:bCs/>
          <w:sz w:val="32"/>
          <w:szCs w:val="32"/>
        </w:rPr>
      </w:pPr>
      <w:bookmarkStart w:id="5" w:name="_Toc27797"/>
      <w:r>
        <w:rPr>
          <w:rFonts w:hint="eastAsia"/>
          <w:b/>
          <w:bCs/>
          <w:sz w:val="32"/>
          <w:szCs w:val="32"/>
        </w:rPr>
        <w:t>第一节 “十三五”生态环境保护成效</w:t>
      </w:r>
      <w:bookmarkEnd w:id="5"/>
    </w:p>
    <w:p>
      <w:pPr>
        <w:ind w:firstLine="560"/>
      </w:pPr>
      <w:r>
        <w:rPr>
          <w:rFonts w:hint="eastAsia"/>
        </w:rPr>
        <w:t>“十三五”时期，我县深入践行习近平生态文明思想，全面落实上级党委政府决策部署，以环境质量改善为核心，实施最严格的环境保护制度，坚持走“资源开发可持续、生态环境可持续”发展道路，把生态文明的理念、原则、目标融入经济社会发展各方面，贯彻落实到各级各类规划和各项工作中，加快转变经济发展方式，生态环境保护取得显著成效。</w:t>
      </w:r>
    </w:p>
    <w:p>
      <w:pPr>
        <w:ind w:firstLine="562"/>
      </w:pPr>
      <w:r>
        <w:rPr>
          <w:rFonts w:hint="eastAsia"/>
          <w:b/>
          <w:bCs/>
        </w:rPr>
        <w:t>组织领导坚强有力。</w:t>
      </w:r>
      <w:r>
        <w:rPr>
          <w:rFonts w:hint="eastAsia"/>
        </w:rPr>
        <w:t>县委、县人民政府始终把生态环境保护摆在突出位置，牢固树立“绿水青山就是金山银山”的理念，坚定不移践行“两个维护”，以生态环境质量改善为核心，全面落实环境保护“党政同责、一岗双责”制度。先后制定</w:t>
      </w:r>
      <w:r>
        <w:rPr>
          <w:rFonts w:hint="eastAsia"/>
          <w:lang w:val="en-US" w:eastAsia="zh-CN"/>
        </w:rPr>
        <w:t>实施</w:t>
      </w:r>
      <w:r>
        <w:rPr>
          <w:rFonts w:hint="eastAsia"/>
        </w:rPr>
        <w:t>了《伊吾县环境保护网格化监管实施方案》和《伊吾县党委、政府及有关部门环境保护工作职责（试行）》，层层签订环境保护目标责任书，明确责任分工。提高单位及干部考核的环境保护权重，将考核结果作为班子每年考核等次评定和干部任免的依据之一。“绿水青山就是金山银山、冰天雪地也是金山银山”的理念已成为全县各族干部群众的共识。</w:t>
      </w:r>
    </w:p>
    <w:p>
      <w:pPr>
        <w:ind w:firstLine="562"/>
      </w:pPr>
      <w:r>
        <w:rPr>
          <w:rFonts w:hint="eastAsia"/>
          <w:b/>
          <w:bCs/>
        </w:rPr>
        <w:t>绿色发展扎实推进。</w:t>
      </w:r>
      <w:r>
        <w:t>坚决贯彻绿色发展理念，严禁</w:t>
      </w:r>
      <w:r>
        <w:rPr>
          <w:rFonts w:hint="eastAsia"/>
        </w:rPr>
        <w:t>高污染</w:t>
      </w:r>
      <w:r>
        <w:rPr>
          <w:rFonts w:hint="eastAsia"/>
          <w:lang w:eastAsia="zh-CN"/>
        </w:rPr>
        <w:t>、</w:t>
      </w:r>
      <w:r>
        <w:rPr>
          <w:rFonts w:hint="eastAsia"/>
        </w:rPr>
        <w:t>高耗能</w:t>
      </w:r>
      <w:r>
        <w:rPr>
          <w:rFonts w:hint="eastAsia"/>
          <w:lang w:eastAsia="zh-CN"/>
        </w:rPr>
        <w:t>、</w:t>
      </w:r>
      <w:r>
        <w:rPr>
          <w:rFonts w:hint="eastAsia"/>
        </w:rPr>
        <w:t>高耗水</w:t>
      </w:r>
      <w:r>
        <w:t>企业引进，全县三产结构持续优化，战略性新兴产业和高技术制造业比重不断增长。大力发展绿色能源，风电、光伏、光热等装机规模达到86.1万千瓦，新疆首个5万千瓦熔盐塔式光热发电示范项目已进入并网调试，能源结构不断优化。积极推进运输结构调整，实行黄标车无标车限行，持续开展大型工矿企业和园区铁路专用线建设，全县铁路货运比例不断攀升。</w:t>
      </w:r>
    </w:p>
    <w:p>
      <w:pPr>
        <w:ind w:firstLine="562"/>
      </w:pPr>
      <w:r>
        <w:rPr>
          <w:rFonts w:hint="eastAsia"/>
          <w:b/>
          <w:bCs/>
        </w:rPr>
        <w:t>污染防治成效显著。</w:t>
      </w:r>
      <w:r>
        <w:rPr>
          <w:rFonts w:hint="eastAsia"/>
        </w:rPr>
        <w:t>坚决打赢蓝天保卫战，在全疆率先开展煤化工领域无组织排放与VOCs治理，</w:t>
      </w:r>
      <w:r>
        <w:t>完成火力发电企业共计3台15万千瓦超低排放改造任务，涉气重点排污单位污染排放达标率为100%</w:t>
      </w:r>
      <w:r>
        <w:rPr>
          <w:rFonts w:hint="eastAsia"/>
        </w:rPr>
        <w:t>；</w:t>
      </w:r>
      <w:r>
        <w:t>持续开展燃煤小锅炉整治力度，全县共拆除、改造10蒸吨以下燃煤锅炉9台</w:t>
      </w:r>
      <w:r>
        <w:rPr>
          <w:rFonts w:hint="eastAsia"/>
        </w:rPr>
        <w:t>；加强煤炭运输管控工作，实现运煤车辆配送防尘网全覆盖。着力打好碧水保卫战，积极开展饮用水源地保护，完成9个饮用水源地保护区划定及规范化建设工作；完成了县城污水处理厂提标改造、淖毛湖污水处理厂改扩建和工业园区污水处理厂建设。扎实推进净土保卫战，完成全县45个土壤污染状况详查点位复查工作，农用地和建设用地安全利用率达到100%。</w:t>
      </w:r>
    </w:p>
    <w:p>
      <w:pPr>
        <w:ind w:firstLine="562"/>
        <w:rPr>
          <w:szCs w:val="28"/>
        </w:rPr>
      </w:pPr>
      <w:r>
        <w:rPr>
          <w:rFonts w:hint="eastAsia"/>
          <w:b/>
          <w:bCs/>
        </w:rPr>
        <w:t>环境质量不断改善。</w:t>
      </w:r>
      <w:r>
        <w:rPr>
          <w:rFonts w:hint="eastAsia"/>
        </w:rPr>
        <w:t>2020年</w:t>
      </w:r>
      <w:r>
        <w:rPr>
          <w:rFonts w:hint="eastAsia"/>
          <w:szCs w:val="28"/>
        </w:rPr>
        <w:t>伊吾县环境空气优良天数339天，优良率为99.7%，空气质量持续改善。地表水环境总体状况为优，2020年2个地表水监测断面水质均达到Ⅰ类标准；集中式饮用水水源地水质优良比例达到100%。土壤环境质量和辐射环境质量安全。各功能区声环境质量保持稳定。</w:t>
      </w:r>
    </w:p>
    <w:p>
      <w:pPr>
        <w:ind w:firstLine="562"/>
        <w:rPr>
          <w:szCs w:val="28"/>
        </w:rPr>
      </w:pPr>
      <w:r>
        <w:rPr>
          <w:rFonts w:hint="eastAsia"/>
          <w:b/>
          <w:bCs/>
        </w:rPr>
        <w:t>生态保护持续加强。</w:t>
      </w:r>
      <w:r>
        <w:rPr>
          <w:rFonts w:hint="eastAsia"/>
          <w:szCs w:val="28"/>
        </w:rPr>
        <w:t>积极配合完成生态保护红线划定工作，扎实推进山水林田湖草生态保护，综合治理水土流失面积360平方公里，河湖水域岸线管理保护水平明显提升。扎实推进东天山生态保护修复，开展喀尔里克冰川周边草原禁牧工程，实施托勒库勒湖和伊吾河生态修复项目，全县生态系统整体稳定。</w:t>
      </w:r>
    </w:p>
    <w:p>
      <w:pPr>
        <w:ind w:firstLine="562"/>
        <w:rPr>
          <w:szCs w:val="28"/>
        </w:rPr>
      </w:pPr>
      <w:r>
        <w:rPr>
          <w:rFonts w:hint="eastAsia"/>
          <w:b/>
          <w:bCs/>
        </w:rPr>
        <w:t>环境风险有效管控。</w:t>
      </w:r>
      <w:r>
        <w:rPr>
          <w:rFonts w:hint="eastAsia"/>
          <w:szCs w:val="28"/>
        </w:rPr>
        <w:t>开展安全隐患现场检查，建立环境应急预案管理体系，重点风险源企业完成突发环境事件应急预案备案，无重大及特别重大环境事件发生；全面实施危险废物电子联单管理，组织开展全县持久性有机污染物（POP</w:t>
      </w:r>
      <w:r>
        <w:rPr>
          <w:rFonts w:hint="eastAsia"/>
          <w:szCs w:val="28"/>
          <w:vertAlign w:val="subscript"/>
        </w:rPr>
        <w:t>S</w:t>
      </w:r>
      <w:r>
        <w:rPr>
          <w:rFonts w:hint="eastAsia"/>
          <w:szCs w:val="28"/>
        </w:rPr>
        <w:t>）排放、重金属减排专项排查工作。辐射环境质量保持良好。</w:t>
      </w:r>
    </w:p>
    <w:p>
      <w:pPr>
        <w:widowControl/>
        <w:ind w:firstLine="562"/>
        <w:jc w:val="left"/>
        <w:rPr>
          <w:szCs w:val="28"/>
        </w:rPr>
      </w:pPr>
      <w:r>
        <w:rPr>
          <w:rFonts w:hint="eastAsia"/>
          <w:b/>
          <w:bCs/>
        </w:rPr>
        <w:t>体制机制不断健全。</w:t>
      </w:r>
      <w:r>
        <w:rPr>
          <w:rFonts w:hint="eastAsia"/>
          <w:szCs w:val="28"/>
        </w:rPr>
        <w:t>出台《伊吾县生态文明建设目标评价考核细则（试行）》，将生态环境质量改善、目标任务完成及工作履职情况作为领导班子和领导干部政绩考核的重要内容。制定下发《伊吾县党政领导干部生态环境损害责任追究办法（试行）》，建立健全党政领导干部生态环境和资源保护责任追究制度。建立三级河长组织体系，出台《伊吾县河长制考核办法》，制定伊吾县河长制“联席会议、联合执法、巡查提醒”等工作制度。严格环境监督执法，环境监管能力不断提高。</w:t>
      </w:r>
    </w:p>
    <w:p>
      <w:pPr>
        <w:widowControl/>
        <w:ind w:firstLine="0" w:firstLineChars="0"/>
        <w:jc w:val="center"/>
        <w:outlineLvl w:val="1"/>
        <w:rPr>
          <w:b/>
          <w:bCs/>
          <w:sz w:val="32"/>
          <w:szCs w:val="32"/>
        </w:rPr>
      </w:pPr>
      <w:bookmarkStart w:id="6" w:name="_Toc20213"/>
      <w:r>
        <w:rPr>
          <w:rFonts w:hint="eastAsia"/>
          <w:b/>
          <w:bCs/>
          <w:sz w:val="32"/>
          <w:szCs w:val="32"/>
        </w:rPr>
        <w:t>第二节 存在的问题</w:t>
      </w:r>
      <w:bookmarkEnd w:id="6"/>
    </w:p>
    <w:p>
      <w:pPr>
        <w:ind w:firstLine="560"/>
        <w:rPr>
          <w:szCs w:val="28"/>
        </w:rPr>
      </w:pPr>
      <w:r>
        <w:rPr>
          <w:rFonts w:hint="eastAsia"/>
          <w:szCs w:val="28"/>
        </w:rPr>
        <w:t>生态环境问题具有长期性、艰巨性、复杂性，生态环境质量改善从量变到质变的拐点尚未到来，结构性、根源性、趋势性压力尚未根本缓解。我县工业发展资源依赖性强，能源结构煤炭占比较高，环境保护基础设施依然薄弱，环境监管能力仍需进一步提升，生态环境保护工作依然任重道远。</w:t>
      </w:r>
    </w:p>
    <w:p>
      <w:pPr>
        <w:ind w:firstLine="562"/>
      </w:pPr>
      <w:r>
        <w:rPr>
          <w:b/>
          <w:bCs/>
        </w:rPr>
        <w:t>发展方式调整优化任务依然艰巨。</w:t>
      </w:r>
      <w:r>
        <w:rPr>
          <w:szCs w:val="28"/>
        </w:rPr>
        <w:t>产业结构偏重，经济发展依赖资源特征明显，高耗能高污染行业和能源原材料行业占比偏高，产业链条处于低端位势</w:t>
      </w:r>
      <w:r>
        <w:rPr>
          <w:rFonts w:hint="eastAsia"/>
          <w:szCs w:val="28"/>
        </w:rPr>
        <w:t>，</w:t>
      </w:r>
      <w:r>
        <w:rPr>
          <w:szCs w:val="28"/>
        </w:rPr>
        <w:t>能源资源利用效率偏低，碳排放总量大，实现碳达峰、碳中和愿景目标任务异常艰巨</w:t>
      </w:r>
      <w:r>
        <w:rPr>
          <w:rFonts w:hint="eastAsia"/>
          <w:szCs w:val="28"/>
        </w:rPr>
        <w:t>。经济发展主要依赖于大规模的基础设施和煤炭、煤电、煤化工等大项目的投资建设和规模扩张，技术改造、技术进步、创新发展的投资不足，在工业技术进步、产业升级和新兴产业培育方面还存在短板。</w:t>
      </w:r>
    </w:p>
    <w:p>
      <w:pPr>
        <w:ind w:firstLine="562"/>
        <w:rPr>
          <w:szCs w:val="28"/>
        </w:rPr>
      </w:pPr>
      <w:r>
        <w:rPr>
          <w:b/>
          <w:bCs/>
        </w:rPr>
        <w:t>生态环境保护仍是突出短板。</w:t>
      </w:r>
      <w:r>
        <w:rPr>
          <w:szCs w:val="28"/>
        </w:rPr>
        <w:t>区域生态环境总体比较脆弱，经济发展对能源资源的依赖性较强，依靠能源资源加工转换带动经济发展的县情在短时间内无法根本改变，生态环境保护任重道远。</w:t>
      </w:r>
      <w:r>
        <w:rPr>
          <w:rFonts w:hint="eastAsia"/>
          <w:szCs w:val="28"/>
        </w:rPr>
        <w:t>工业园区</w:t>
      </w:r>
      <w:r>
        <w:rPr>
          <w:szCs w:val="28"/>
        </w:rPr>
        <w:t>废水治理设施不完善。地下水污染防治基础薄弱。</w:t>
      </w:r>
      <w:r>
        <w:rPr>
          <w:rFonts w:hint="eastAsia"/>
          <w:szCs w:val="28"/>
        </w:rPr>
        <w:t>粉尘污染治理任务艰巨。</w:t>
      </w:r>
      <w:r>
        <w:rPr>
          <w:szCs w:val="28"/>
        </w:rPr>
        <w:t>突发环境事件应急预案体系有待完善，环境应急物资储备库建设存在明显短板</w:t>
      </w:r>
      <w:r>
        <w:rPr>
          <w:rFonts w:hint="eastAsia"/>
          <w:szCs w:val="28"/>
        </w:rPr>
        <w:t>。</w:t>
      </w:r>
    </w:p>
    <w:p>
      <w:pPr>
        <w:ind w:firstLine="562"/>
      </w:pPr>
      <w:r>
        <w:rPr>
          <w:b/>
          <w:bCs/>
        </w:rPr>
        <w:t>治理体系和治理能力现代化亟待加强。</w:t>
      </w:r>
      <w:r>
        <w:t>生态环境治理更多依靠行政手段，部分企业法治意识淡薄，相关责任主体内生动力尚未得到有效激发，市场化机制还需进一步建立和完善。生态环境治理投入不足且渠道单一，环境基础设施仍存在短板，生活污水、危险废物、污泥处置能力普遍不足。生态环境监管能力亟待加强，专业人员不足、技术装备少、执法监管水平有限仍是普遍现象，生态环境科技支撑能力和环境信息化建设滞后于环境管理工作需要。</w:t>
      </w:r>
    </w:p>
    <w:p>
      <w:pPr>
        <w:widowControl/>
        <w:ind w:firstLine="0" w:firstLineChars="0"/>
        <w:jc w:val="center"/>
        <w:outlineLvl w:val="1"/>
        <w:rPr>
          <w:b/>
          <w:bCs/>
          <w:sz w:val="32"/>
          <w:szCs w:val="32"/>
        </w:rPr>
      </w:pPr>
      <w:bookmarkStart w:id="7" w:name="_Toc30041"/>
      <w:r>
        <w:rPr>
          <w:rFonts w:hint="eastAsia"/>
          <w:b/>
          <w:bCs/>
          <w:sz w:val="32"/>
          <w:szCs w:val="32"/>
        </w:rPr>
        <w:t>第三节 面临的机遇</w:t>
      </w:r>
      <w:bookmarkEnd w:id="7"/>
    </w:p>
    <w:p>
      <w:pPr>
        <w:ind w:firstLine="560"/>
      </w:pPr>
      <w:r>
        <w:rPr>
          <w:rFonts w:hint="eastAsia"/>
        </w:rPr>
        <w:t>“十四五”时期是我国开启全面建设社会主义现代化国家新征程、向第二个百年奋斗目标进军的第一个五年，是新疆巩固社会稳定成果、推动高质量发展、迈向长治久安的关键五年。在习近平生态文明思想的引领下，保持生态文明建设的高战略定位和污染防治攻坚战的高压力度，将是“十四五”时期我县生态环境保护最大的确定和利好因素。</w:t>
      </w:r>
    </w:p>
    <w:p>
      <w:pPr>
        <w:ind w:firstLine="562"/>
      </w:pPr>
      <w:r>
        <w:rPr>
          <w:b/>
          <w:bCs/>
        </w:rPr>
        <w:t>国家高度重视支持。</w:t>
      </w:r>
      <w:r>
        <w:rPr>
          <w:rFonts w:hint="eastAsia"/>
        </w:rPr>
        <w:t>在第三次中央新疆工作座谈会上，习近平总书记指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强调要坚持“绿水青山就是金山银山”的理念，坚决守住生态保护红线，统筹开展治沙治水和森林草原保护工作，让大美新疆天更蓝、山更绿、水更清。习近平总书记的重要讲话，为做好新时代新疆工作指明了方向，为我县生态文明建设和生态环境保护工作提供了根本遵循。同时哈密市建设“三基地（能源基地、物流基地、先进制造业基地）、三中心（交通枢纽中心、旅游文化中心、疆电外送中心）、三区（改革创新的先行区、兵铁油企地融合发展的模范区、生态文明建设的样板区）”、打造新疆高质量发展重要增长极、建设“无废城市”等，也为我县生态环境保护提供了强力支撑。</w:t>
      </w:r>
    </w:p>
    <w:p>
      <w:pPr>
        <w:ind w:firstLine="562"/>
      </w:pPr>
      <w:r>
        <w:rPr>
          <w:b/>
          <w:bCs/>
        </w:rPr>
        <w:t>生态文明思想深入人心。</w:t>
      </w:r>
      <w:r>
        <w:t>全</w:t>
      </w:r>
      <w:r>
        <w:rPr>
          <w:rFonts w:hint="eastAsia"/>
        </w:rPr>
        <w:t>县</w:t>
      </w:r>
      <w:r>
        <w:t>各级各部门牢固树立新发展理念，坚持</w:t>
      </w:r>
      <w:r>
        <w:rPr>
          <w:rFonts w:hint="eastAsia"/>
        </w:rPr>
        <w:t>“</w:t>
      </w:r>
      <w:r>
        <w:t>绿水青山就是金山银山、冰天雪地也是金山银山</w:t>
      </w:r>
      <w:r>
        <w:rPr>
          <w:rFonts w:hint="eastAsia"/>
        </w:rPr>
        <w:t>”</w:t>
      </w:r>
      <w:r>
        <w:t>的理念，坚决扛起生态文明建设的政治责任，齐抓共管的</w:t>
      </w:r>
      <w:r>
        <w:rPr>
          <w:rFonts w:hint="eastAsia"/>
        </w:rPr>
        <w:t>“</w:t>
      </w:r>
      <w:r>
        <w:t>大生态大环保</w:t>
      </w:r>
      <w:r>
        <w:rPr>
          <w:rFonts w:hint="eastAsia"/>
        </w:rPr>
        <w:t>”</w:t>
      </w:r>
      <w:r>
        <w:t>工作格局基本形成，</w:t>
      </w:r>
      <w:r>
        <w:rPr>
          <w:rFonts w:hint="eastAsia"/>
        </w:rPr>
        <w:t>“</w:t>
      </w:r>
      <w:r>
        <w:t>新疆生态环境脆弱、生态安全关系子孙后代</w:t>
      </w:r>
      <w:r>
        <w:rPr>
          <w:rFonts w:hint="eastAsia"/>
        </w:rPr>
        <w:t>”“</w:t>
      </w:r>
      <w:r>
        <w:t>坚持生态保护第一，宁可经济发展慢一点，也绝不以牺牲生态环境为代价</w:t>
      </w:r>
      <w:r>
        <w:rPr>
          <w:rFonts w:hint="eastAsia"/>
        </w:rPr>
        <w:t>”</w:t>
      </w:r>
      <w:r>
        <w:t>的理念已成为全社会的普遍共识，为</w:t>
      </w:r>
      <w:r>
        <w:rPr>
          <w:rFonts w:hint="eastAsia"/>
        </w:rPr>
        <w:t>“</w:t>
      </w:r>
      <w:r>
        <w:t>十四五</w:t>
      </w:r>
      <w:r>
        <w:rPr>
          <w:rFonts w:hint="eastAsia"/>
        </w:rPr>
        <w:t>”</w:t>
      </w:r>
      <w:r>
        <w:t>时期构建完善政府主导、社会共治、多元参与、良性互动的新发展格局提供了强有力的支撑</w:t>
      </w:r>
      <w:r>
        <w:rPr>
          <w:rFonts w:hint="eastAsia"/>
        </w:rPr>
        <w:t>。同时，建成宜居宜业宜游宜养的花园城市、具有“大美新疆”特质的国家级休闲度假区、自治区生态文明建设的样板区、自治区制造业高质量发展的示范区等发展目标也为我县生态文明建设和生态环境保护提供了重要机遇。</w:t>
      </w:r>
    </w:p>
    <w:p>
      <w:pPr>
        <w:ind w:firstLine="562"/>
      </w:pPr>
      <w:r>
        <w:rPr>
          <w:b/>
          <w:bCs/>
        </w:rPr>
        <w:t>区位优势更加明显。</w:t>
      </w:r>
      <w:r>
        <w:rPr>
          <w:rFonts w:hint="eastAsia"/>
        </w:rPr>
        <w:t>我县是</w:t>
      </w:r>
      <w:r>
        <w:t>进疆丝绸之路北通道</w:t>
      </w:r>
      <w:r>
        <w:rPr>
          <w:rFonts w:hint="eastAsia"/>
        </w:rPr>
        <w:t>“</w:t>
      </w:r>
      <w:r>
        <w:t>必经之地</w:t>
      </w:r>
      <w:r>
        <w:rPr>
          <w:rFonts w:hint="eastAsia"/>
        </w:rPr>
        <w:t>”，随着扩大对外开放、西部大开发、共建“一带一路”等不断推进，与内地发展差距进一步缩小，经济实力不断增强，为持续推进生态环境建设奠定了良好的基础。全国19个省市、中央和国家机关、中央企业对口支援新疆，形成了新时代全国一盘棋、各方力量对口援疆的工作格局，为我县建立绿色产业体系、加快转变发展方式、改善生态环境提供持续动力。新疆社会局势实现了由“乱”到“治”的根本性转折，“十四五”将形成全面稳定常态，稳定红利持续释放，为巩固脱贫攻坚成果、全面实施乡村振兴、加快产业转型升级，推动产业高质量发展营造良好社会环境。</w:t>
      </w:r>
    </w:p>
    <w:p>
      <w:pPr>
        <w:widowControl/>
        <w:ind w:firstLine="0" w:firstLineChars="0"/>
        <w:jc w:val="center"/>
        <w:outlineLvl w:val="1"/>
        <w:rPr>
          <w:b/>
          <w:bCs/>
          <w:sz w:val="32"/>
          <w:szCs w:val="32"/>
        </w:rPr>
      </w:pPr>
      <w:bookmarkStart w:id="8" w:name="_Toc16016"/>
      <w:r>
        <w:rPr>
          <w:rFonts w:hint="eastAsia"/>
          <w:b/>
          <w:bCs/>
          <w:sz w:val="32"/>
          <w:szCs w:val="32"/>
        </w:rPr>
        <w:t>第四节 面临的挑战</w:t>
      </w:r>
      <w:bookmarkEnd w:id="8"/>
    </w:p>
    <w:p>
      <w:pPr>
        <w:ind w:firstLine="562"/>
      </w:pPr>
      <w:r>
        <w:rPr>
          <w:rFonts w:hint="eastAsia"/>
          <w:b/>
          <w:bCs/>
        </w:rPr>
        <w:t>生态环境压力依然突出。</w:t>
      </w:r>
      <w:r>
        <w:rPr>
          <w:rFonts w:hint="eastAsia"/>
        </w:rPr>
        <w:t>我县整体生态环境脆弱，荒漠生态系统在生态环境中占主导地位，存在天然草地退化、湿地萎缩等严峻问题。生产空间、生活空间、生态空间利用失衡问题突出，绿色生产生活方式尚未根本形成，生态经济基础依然薄弱。</w:t>
      </w:r>
    </w:p>
    <w:p>
      <w:pPr>
        <w:ind w:firstLine="562"/>
      </w:pPr>
      <w:r>
        <w:rPr>
          <w:rFonts w:hint="eastAsia"/>
          <w:b/>
          <w:bCs/>
        </w:rPr>
        <w:t>产业结构造成的环境压力仍将持续。</w:t>
      </w:r>
      <w:r>
        <w:rPr>
          <w:rFonts w:hint="eastAsia"/>
        </w:rPr>
        <w:t>我县产业发展处于工业化中期，产业结构偏重，能源结构偏煤，污染物排放强度偏高，经济发展对能源资源的依赖性较强，依靠能源资源加工转换带动经济发展的县情在短时间内无法根本改变，工业领域环境治理任务艰巨。</w:t>
      </w:r>
    </w:p>
    <w:p>
      <w:pPr>
        <w:ind w:firstLine="562"/>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b/>
          <w:bCs/>
        </w:rPr>
        <w:t>社会发展带来的环境问题依然巨大。</w:t>
      </w:r>
      <w:r>
        <w:rPr>
          <w:rFonts w:hint="eastAsia"/>
        </w:rPr>
        <w:t>“十四五”时期是我县加快推进新型城镇化建设和生态环境改善工作的关键时期。随着城乡建设全面深化，煤化工、电力等主导产业的持续发展，废气、废水等污染物排放总量必然有所增加，对全县温室气体和污染物排放控制带来严峻</w:t>
      </w:r>
      <w:r>
        <w:rPr>
          <w:rFonts w:hint="eastAsia"/>
          <w:lang w:val="en-US" w:eastAsia="zh-CN"/>
        </w:rPr>
        <w:t>考验</w:t>
      </w:r>
      <w:r>
        <w:rPr>
          <w:rFonts w:hint="eastAsia"/>
        </w:rPr>
        <w:t>。</w:t>
      </w:r>
    </w:p>
    <w:p>
      <w:pPr>
        <w:pStyle w:val="3"/>
        <w:ind w:firstLine="0" w:firstLineChars="0"/>
        <w:jc w:val="center"/>
        <w:rPr>
          <w:sz w:val="32"/>
          <w:szCs w:val="32"/>
        </w:rPr>
      </w:pPr>
      <w:bookmarkStart w:id="9" w:name="_Toc32499"/>
      <w:r>
        <w:rPr>
          <w:rFonts w:hint="eastAsia"/>
          <w:sz w:val="32"/>
          <w:szCs w:val="32"/>
        </w:rPr>
        <w:t>第二章 总体要求</w:t>
      </w:r>
      <w:bookmarkEnd w:id="9"/>
    </w:p>
    <w:p>
      <w:pPr>
        <w:widowControl/>
        <w:ind w:firstLine="0" w:firstLineChars="0"/>
        <w:jc w:val="center"/>
        <w:outlineLvl w:val="1"/>
        <w:rPr>
          <w:b/>
          <w:bCs/>
          <w:sz w:val="32"/>
          <w:szCs w:val="32"/>
        </w:rPr>
      </w:pPr>
      <w:bookmarkStart w:id="10" w:name="_Toc13858"/>
      <w:r>
        <w:rPr>
          <w:rFonts w:hint="eastAsia"/>
          <w:b/>
          <w:bCs/>
          <w:sz w:val="32"/>
          <w:szCs w:val="32"/>
        </w:rPr>
        <w:t>第一节 指导思想</w:t>
      </w:r>
      <w:bookmarkEnd w:id="10"/>
    </w:p>
    <w:p>
      <w:pPr>
        <w:pStyle w:val="9"/>
        <w:ind w:firstLine="560"/>
      </w:pPr>
      <w:r>
        <w:rPr>
          <w:rFonts w:hint="eastAsia"/>
        </w:rPr>
        <w:t>坚持以习近平新时代中国特色社会主义思想为指导，全面贯彻党的二十大和二十届历次全会精神及全国生态环境保护讲话精神，深入贯彻习近平生态文明思想，落实第三次中央新疆工作座谈会精神和自治区第十次党代会精神，</w:t>
      </w:r>
      <w:r>
        <w:rPr>
          <w:rFonts w:hint="eastAsia"/>
          <w:color w:val="000000"/>
        </w:rPr>
        <w:t>立足新发展阶段，深入贯彻新发展理念，树立问题导向、目标导向，坚持底线思维，保持战略定力，以改善生态环境质量为核心，以推进生态环境治理体系和治理能力现代化为支撑，突出依法治污、科学治污、精准治污，持续改善生态环境质量，有效防控环境风险，维护生态安全和生物安全，推动生态环境质量持续好转，协同推进生态环境高水平保护和经济高质量发展，努力建设人与自然和谐共生的美丽伊吾</w:t>
      </w:r>
      <w:r>
        <w:rPr>
          <w:rFonts w:hint="eastAsia"/>
        </w:rPr>
        <w:t>。</w:t>
      </w:r>
    </w:p>
    <w:p>
      <w:pPr>
        <w:widowControl/>
        <w:ind w:firstLine="0" w:firstLineChars="0"/>
        <w:jc w:val="center"/>
        <w:outlineLvl w:val="1"/>
        <w:rPr>
          <w:b/>
          <w:bCs/>
          <w:sz w:val="32"/>
          <w:szCs w:val="32"/>
        </w:rPr>
      </w:pPr>
      <w:bookmarkStart w:id="11" w:name="_Toc575"/>
      <w:r>
        <w:rPr>
          <w:rFonts w:hint="eastAsia"/>
          <w:b/>
          <w:bCs/>
          <w:sz w:val="32"/>
          <w:szCs w:val="32"/>
        </w:rPr>
        <w:t>第二节 基本原则</w:t>
      </w:r>
      <w:bookmarkEnd w:id="11"/>
    </w:p>
    <w:p>
      <w:pPr>
        <w:ind w:firstLine="562"/>
      </w:pPr>
      <w:r>
        <w:rPr>
          <w:rFonts w:hint="eastAsia"/>
          <w:b/>
          <w:bCs/>
        </w:rPr>
        <w:t>以人为本，生态惠民。</w:t>
      </w:r>
      <w:r>
        <w:rPr>
          <w:rFonts w:hint="eastAsia"/>
        </w:rPr>
        <w:t>坚持以人民为中心，依靠人民、服务人民，着力解决人民群众身边的突出生态环境问题，为人民群众创造良好生产生活环境，提供更多优质生态产品，不断满足人民日益增长的优美生态环境需要。</w:t>
      </w:r>
    </w:p>
    <w:p>
      <w:pPr>
        <w:ind w:firstLine="562"/>
        <w:rPr>
          <w:color w:val="000000"/>
        </w:rPr>
      </w:pPr>
      <w:r>
        <w:rPr>
          <w:rFonts w:hint="eastAsia"/>
          <w:b/>
          <w:bCs/>
          <w:color w:val="000000"/>
        </w:rPr>
        <w:t>低碳引领，绿色发展。</w:t>
      </w:r>
      <w:r>
        <w:rPr>
          <w:rFonts w:hint="eastAsia"/>
          <w:color w:val="000000"/>
        </w:rPr>
        <w:t>坚定不移贯彻新发展理念，将生态环境保护融入经济社会发展全过程，建立绿色低碳循环发展经济体系，加快形成绿色发展方式和生活方式，以生态环境高水平保护推动经济高质量发展，促进经济社会发展全面绿色转型。</w:t>
      </w:r>
    </w:p>
    <w:p>
      <w:pPr>
        <w:ind w:firstLine="562"/>
        <w:rPr>
          <w:color w:val="000000"/>
        </w:rPr>
      </w:pPr>
      <w:r>
        <w:rPr>
          <w:rFonts w:hint="eastAsia"/>
          <w:b/>
          <w:bCs/>
          <w:color w:val="000000"/>
        </w:rPr>
        <w:t>系统观念，协同增效。</w:t>
      </w:r>
      <w:r>
        <w:rPr>
          <w:rFonts w:hint="eastAsia"/>
          <w:color w:val="000000"/>
        </w:rPr>
        <w:t>突出精准治污、科学治污、依法治污，注重综合治理、系统治理、源头治理，强化各种生态要素协同治理，强化多污染物协同控制和区域协同治理，加快改善生态环境质量。</w:t>
      </w:r>
    </w:p>
    <w:p>
      <w:pPr>
        <w:ind w:firstLine="562"/>
        <w:rPr>
          <w:color w:val="000000"/>
        </w:rPr>
      </w:pPr>
      <w:r>
        <w:rPr>
          <w:rFonts w:hint="eastAsia"/>
          <w:b/>
          <w:bCs/>
          <w:color w:val="000000"/>
        </w:rPr>
        <w:t>安全为基，守牢底线。</w:t>
      </w:r>
      <w:r>
        <w:rPr>
          <w:rFonts w:hint="eastAsia"/>
          <w:color w:val="000000"/>
        </w:rPr>
        <w:t>不断完善生态环境风险常态化管理体系，强化重点领域生态环境风险防范，着力提升突发环境事件应急处置能力，切实维护生态环境安全。</w:t>
      </w:r>
    </w:p>
    <w:p>
      <w:pPr>
        <w:ind w:firstLine="562"/>
        <w:rPr>
          <w:color w:val="000000"/>
        </w:rPr>
      </w:pPr>
      <w:r>
        <w:rPr>
          <w:rFonts w:hint="eastAsia"/>
          <w:b/>
          <w:bCs/>
          <w:color w:val="000000"/>
        </w:rPr>
        <w:t>深化改革，全民共治。</w:t>
      </w:r>
      <w:r>
        <w:rPr>
          <w:rFonts w:hint="eastAsia"/>
          <w:color w:val="000000"/>
        </w:rPr>
        <w:t>不断深化生态文明体制改革，建立健全市场化机制，强化生态环境法治体系建设，激发党委政府、企业、公众等各类责任主体内生动力，开展全民动员、鼓励人人参与，推进生态环境治理体系和治理能力现代化。</w:t>
      </w:r>
    </w:p>
    <w:p>
      <w:pPr>
        <w:widowControl/>
        <w:ind w:firstLine="0" w:firstLineChars="0"/>
        <w:jc w:val="center"/>
        <w:outlineLvl w:val="1"/>
        <w:rPr>
          <w:b/>
          <w:bCs/>
          <w:sz w:val="32"/>
          <w:szCs w:val="32"/>
        </w:rPr>
      </w:pPr>
      <w:bookmarkStart w:id="12" w:name="_Toc30936"/>
      <w:r>
        <w:rPr>
          <w:rFonts w:hint="eastAsia"/>
          <w:b/>
          <w:bCs/>
          <w:sz w:val="32"/>
          <w:szCs w:val="32"/>
        </w:rPr>
        <w:t>第三节 规划目标</w:t>
      </w:r>
      <w:bookmarkEnd w:id="12"/>
    </w:p>
    <w:p>
      <w:pPr>
        <w:ind w:firstLine="560"/>
      </w:pPr>
      <w:r>
        <w:rPr>
          <w:rFonts w:hint="eastAsia"/>
        </w:rPr>
        <w:t>“</w:t>
      </w:r>
      <w:r>
        <w:t>十四五</w:t>
      </w:r>
      <w:r>
        <w:rPr>
          <w:rFonts w:hint="eastAsia"/>
        </w:rPr>
        <w:t>”</w:t>
      </w:r>
      <w:r>
        <w:t>时期，生态环境持续改善，主要污染物排放总量持续下降，重污染天气基本消除，土壤污染风险得到有效管控，固体废物治理能力明显增强，生态系统质量和稳定性持续提升，生态环境治理体系更加完善，生态文明建设实现新进步，</w:t>
      </w:r>
      <w:r>
        <w:rPr>
          <w:rFonts w:hint="eastAsia"/>
        </w:rPr>
        <w:t>美丽伊吾</w:t>
      </w:r>
      <w:r>
        <w:t>建设取得明显进展，生态环境保护主要目标：</w:t>
      </w:r>
    </w:p>
    <w:p>
      <w:pPr>
        <w:ind w:firstLine="562"/>
      </w:pPr>
      <w:r>
        <w:rPr>
          <w:b/>
          <w:bCs/>
        </w:rPr>
        <w:t>绿色发展深入推进。</w:t>
      </w:r>
      <w:r>
        <w:t>国土空间开发保护格局得到优化，生产生活方式绿色转型成效显著，能源资源配置更加合理、利用效率大幅提高，碳排放强度持续降低，主要污染物排放总量持续减少，绿色低碳发展加快推进，简约适度、绿色低碳的生活方式加快形成。</w:t>
      </w:r>
    </w:p>
    <w:p>
      <w:pPr>
        <w:ind w:firstLine="562"/>
      </w:pPr>
      <w:r>
        <w:rPr>
          <w:b/>
          <w:bCs/>
        </w:rPr>
        <w:t>环境质量持续改善。</w:t>
      </w:r>
      <w:r>
        <w:t>主要污染物排放总量持续减少，空气质量稳步提升，城市空气环境质量优良天数比例达到</w:t>
      </w:r>
      <w:r>
        <w:rPr>
          <w:rFonts w:hint="eastAsia"/>
        </w:rPr>
        <w:t>哈密市</w:t>
      </w:r>
      <w:r>
        <w:t>下达的约束性指标，基本消除重污染天气。水环境质量持续改善，全</w:t>
      </w:r>
      <w:r>
        <w:rPr>
          <w:rFonts w:hint="eastAsia"/>
        </w:rPr>
        <w:t>县</w:t>
      </w:r>
      <w:r>
        <w:t>水质达到或优于Ⅲ类比例满足约束性指标要求。环境基础设施进一步完善，城乡人居环境明显改善</w:t>
      </w:r>
      <w:r>
        <w:rPr>
          <w:rFonts w:hint="eastAsia"/>
        </w:rPr>
        <w:t>。</w:t>
      </w:r>
    </w:p>
    <w:p>
      <w:pPr>
        <w:ind w:firstLine="562"/>
      </w:pPr>
      <w:r>
        <w:rPr>
          <w:b/>
          <w:bCs/>
        </w:rPr>
        <w:t>生态功能稳步提升。</w:t>
      </w:r>
      <w:r>
        <w:t>生态空间格局进一步优化，生态系统稳定性稳步提升，生物多样性得到有效保护，生态系统服务功能不断增强，生态系统监管得到强化</w:t>
      </w:r>
      <w:r>
        <w:rPr>
          <w:rFonts w:hint="eastAsia"/>
        </w:rPr>
        <w:t>。</w:t>
      </w:r>
    </w:p>
    <w:p>
      <w:pPr>
        <w:ind w:firstLine="562"/>
      </w:pPr>
      <w:r>
        <w:rPr>
          <w:rFonts w:hint="eastAsia"/>
          <w:b/>
          <w:bCs/>
        </w:rPr>
        <w:t>环境风险有效防控。</w:t>
      </w:r>
      <w:r>
        <w:rPr>
          <w:rFonts w:hint="eastAsia"/>
        </w:rPr>
        <w:t>土壤污染风险管控和安全利用水平巩固提升，危险废物与危化品、重金属污染环境风险防控能力明显增强，环境风险得到有效管控。</w:t>
      </w:r>
    </w:p>
    <w:p>
      <w:pPr>
        <w:ind w:firstLine="562"/>
      </w:pPr>
      <w:r>
        <w:rPr>
          <w:rFonts w:hint="eastAsia"/>
          <w:b/>
          <w:bCs/>
        </w:rPr>
        <w:t>治理体系逐步健全。</w:t>
      </w:r>
      <w:r>
        <w:rPr>
          <w:rFonts w:hint="eastAsia"/>
        </w:rPr>
        <w:t>深入落实生态文明体制改革，加快补齐生态环境治理能力突出短板，生态环境治理效能得到新提升。</w:t>
      </w:r>
    </w:p>
    <w:p>
      <w:pPr>
        <w:ind w:firstLine="562"/>
        <w:rPr>
          <w:b/>
          <w:bCs/>
        </w:rPr>
        <w:sectPr>
          <w:pgSz w:w="11906" w:h="16838"/>
          <w:pgMar w:top="1440" w:right="1800" w:bottom="1440" w:left="1800" w:header="851" w:footer="992" w:gutter="0"/>
          <w:cols w:space="425" w:num="1"/>
          <w:docGrid w:type="lines" w:linePitch="312" w:charSpace="0"/>
        </w:sectPr>
      </w:pPr>
    </w:p>
    <w:p>
      <w:pPr>
        <w:ind w:firstLine="482"/>
        <w:jc w:val="center"/>
        <w:rPr>
          <w:b/>
          <w:bCs/>
          <w:sz w:val="24"/>
          <w:szCs w:val="22"/>
        </w:rPr>
      </w:pPr>
      <w:r>
        <w:rPr>
          <w:rFonts w:hint="eastAsia"/>
          <w:b/>
          <w:bCs/>
          <w:sz w:val="24"/>
          <w:szCs w:val="22"/>
        </w:rPr>
        <w:t>表2-1 “十四五”生态环境保护规划主要指标</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47"/>
        <w:gridCol w:w="2967"/>
        <w:gridCol w:w="1182"/>
        <w:gridCol w:w="1030"/>
        <w:gridCol w:w="13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697" w:type="pct"/>
            <w:tcMar>
              <w:top w:w="15" w:type="dxa"/>
              <w:left w:w="15" w:type="dxa"/>
              <w:right w:w="15" w:type="dxa"/>
            </w:tcMar>
            <w:vAlign w:val="center"/>
          </w:tcPr>
          <w:p>
            <w:pPr>
              <w:widowControl/>
              <w:ind w:firstLine="0" w:firstLineChars="0"/>
              <w:jc w:val="center"/>
              <w:textAlignment w:val="center"/>
              <w:rPr>
                <w:b/>
                <w:sz w:val="24"/>
              </w:rPr>
            </w:pPr>
            <w:r>
              <w:rPr>
                <w:b/>
                <w:kern w:val="0"/>
                <w:sz w:val="24"/>
                <w:lang w:bidi="ar"/>
              </w:rPr>
              <w:t>指标类</w:t>
            </w:r>
          </w:p>
        </w:tc>
        <w:tc>
          <w:tcPr>
            <w:tcW w:w="388" w:type="pct"/>
            <w:noWrap/>
            <w:tcMar>
              <w:top w:w="15" w:type="dxa"/>
              <w:left w:w="15" w:type="dxa"/>
              <w:right w:w="15" w:type="dxa"/>
            </w:tcMar>
            <w:vAlign w:val="center"/>
          </w:tcPr>
          <w:p>
            <w:pPr>
              <w:widowControl/>
              <w:ind w:firstLine="0" w:firstLineChars="0"/>
              <w:jc w:val="center"/>
              <w:textAlignment w:val="center"/>
              <w:rPr>
                <w:b/>
                <w:sz w:val="24"/>
              </w:rPr>
            </w:pPr>
            <w:r>
              <w:rPr>
                <w:b/>
                <w:kern w:val="0"/>
                <w:sz w:val="24"/>
                <w:lang w:bidi="ar"/>
              </w:rPr>
              <w:t>序号</w:t>
            </w:r>
          </w:p>
        </w:tc>
        <w:tc>
          <w:tcPr>
            <w:tcW w:w="1779" w:type="pct"/>
            <w:noWrap/>
            <w:tcMar>
              <w:top w:w="15" w:type="dxa"/>
              <w:left w:w="15" w:type="dxa"/>
              <w:right w:w="15" w:type="dxa"/>
            </w:tcMar>
            <w:vAlign w:val="center"/>
          </w:tcPr>
          <w:p>
            <w:pPr>
              <w:widowControl/>
              <w:ind w:firstLine="0" w:firstLineChars="0"/>
              <w:jc w:val="center"/>
              <w:textAlignment w:val="center"/>
              <w:rPr>
                <w:b/>
                <w:sz w:val="24"/>
              </w:rPr>
            </w:pPr>
            <w:r>
              <w:rPr>
                <w:b/>
                <w:kern w:val="0"/>
                <w:sz w:val="24"/>
                <w:lang w:bidi="ar"/>
              </w:rPr>
              <w:t>指标</w:t>
            </w:r>
          </w:p>
        </w:tc>
        <w:tc>
          <w:tcPr>
            <w:tcW w:w="709" w:type="pct"/>
            <w:noWrap/>
            <w:tcMar>
              <w:top w:w="15" w:type="dxa"/>
              <w:left w:w="15" w:type="dxa"/>
              <w:right w:w="15" w:type="dxa"/>
            </w:tcMar>
            <w:vAlign w:val="center"/>
          </w:tcPr>
          <w:p>
            <w:pPr>
              <w:widowControl/>
              <w:ind w:firstLine="0" w:firstLineChars="0"/>
              <w:jc w:val="center"/>
              <w:textAlignment w:val="center"/>
              <w:rPr>
                <w:b/>
                <w:kern w:val="0"/>
                <w:sz w:val="24"/>
                <w:lang w:bidi="ar"/>
              </w:rPr>
            </w:pPr>
            <w:r>
              <w:rPr>
                <w:b/>
                <w:kern w:val="0"/>
                <w:sz w:val="24"/>
                <w:lang w:bidi="ar"/>
              </w:rPr>
              <w:t>2020年</w:t>
            </w:r>
          </w:p>
          <w:p>
            <w:pPr>
              <w:widowControl/>
              <w:ind w:firstLine="0" w:firstLineChars="0"/>
              <w:jc w:val="center"/>
              <w:textAlignment w:val="center"/>
              <w:rPr>
                <w:b/>
                <w:sz w:val="24"/>
              </w:rPr>
            </w:pPr>
            <w:r>
              <w:rPr>
                <w:rFonts w:hint="eastAsia"/>
                <w:b/>
                <w:kern w:val="0"/>
                <w:sz w:val="24"/>
                <w:lang w:bidi="ar"/>
              </w:rPr>
              <w:t>（</w:t>
            </w:r>
            <w:r>
              <w:rPr>
                <w:b/>
                <w:kern w:val="0"/>
                <w:sz w:val="24"/>
                <w:lang w:bidi="ar"/>
              </w:rPr>
              <w:t>基</w:t>
            </w:r>
            <w:r>
              <w:rPr>
                <w:rFonts w:hint="eastAsia"/>
                <w:b/>
                <w:kern w:val="0"/>
                <w:sz w:val="24"/>
                <w:lang w:bidi="ar"/>
              </w:rPr>
              <w:t>准</w:t>
            </w:r>
            <w:r>
              <w:rPr>
                <w:b/>
                <w:kern w:val="0"/>
                <w:sz w:val="24"/>
                <w:lang w:bidi="ar"/>
              </w:rPr>
              <w:t>值</w:t>
            </w:r>
            <w:r>
              <w:rPr>
                <w:rFonts w:hint="eastAsia"/>
                <w:b/>
                <w:kern w:val="0"/>
                <w:sz w:val="24"/>
                <w:lang w:bidi="ar"/>
              </w:rPr>
              <w:t>）</w:t>
            </w:r>
          </w:p>
        </w:tc>
        <w:tc>
          <w:tcPr>
            <w:tcW w:w="618" w:type="pct"/>
            <w:noWrap/>
            <w:tcMar>
              <w:top w:w="15" w:type="dxa"/>
              <w:left w:w="15" w:type="dxa"/>
              <w:right w:w="15" w:type="dxa"/>
            </w:tcMar>
            <w:vAlign w:val="center"/>
          </w:tcPr>
          <w:p>
            <w:pPr>
              <w:widowControl/>
              <w:ind w:firstLine="0" w:firstLineChars="0"/>
              <w:jc w:val="center"/>
              <w:textAlignment w:val="center"/>
              <w:rPr>
                <w:b/>
                <w:sz w:val="24"/>
              </w:rPr>
            </w:pPr>
            <w:r>
              <w:rPr>
                <w:b/>
                <w:kern w:val="0"/>
                <w:sz w:val="24"/>
                <w:lang w:bidi="ar"/>
              </w:rPr>
              <w:t>2025</w:t>
            </w:r>
            <w:r>
              <w:rPr>
                <w:rStyle w:val="29"/>
                <w:rFonts w:hint="default" w:ascii="Times New Roman" w:hAnsi="Times New Roman" w:eastAsia="仿宋" w:cs="Times New Roman"/>
                <w:color w:val="auto"/>
                <w:sz w:val="24"/>
                <w:szCs w:val="24"/>
                <w:lang w:bidi="ar"/>
              </w:rPr>
              <w:t>年</w:t>
            </w:r>
          </w:p>
        </w:tc>
        <w:tc>
          <w:tcPr>
            <w:tcW w:w="807" w:type="pct"/>
            <w:noWrap/>
            <w:tcMar>
              <w:top w:w="15" w:type="dxa"/>
              <w:left w:w="15" w:type="dxa"/>
              <w:right w:w="15" w:type="dxa"/>
            </w:tcMar>
            <w:vAlign w:val="center"/>
          </w:tcPr>
          <w:p>
            <w:pPr>
              <w:widowControl/>
              <w:ind w:firstLine="0" w:firstLineChars="0"/>
              <w:jc w:val="center"/>
              <w:textAlignment w:val="center"/>
              <w:rPr>
                <w:b/>
                <w:sz w:val="24"/>
              </w:rPr>
            </w:pPr>
            <w:r>
              <w:rPr>
                <w:b/>
                <w:kern w:val="0"/>
                <w:sz w:val="24"/>
                <w:lang w:bidi="ar"/>
              </w:rPr>
              <w:t>指标性质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97" w:type="pct"/>
            <w:vMerge w:val="restart"/>
            <w:tcMar>
              <w:top w:w="15" w:type="dxa"/>
              <w:left w:w="15" w:type="dxa"/>
              <w:right w:w="15" w:type="dxa"/>
            </w:tcMar>
            <w:vAlign w:val="center"/>
          </w:tcPr>
          <w:p>
            <w:pPr>
              <w:widowControl/>
              <w:spacing w:line="240" w:lineRule="auto"/>
              <w:ind w:firstLine="0" w:firstLineChars="0"/>
              <w:jc w:val="center"/>
              <w:textAlignment w:val="center"/>
              <w:rPr>
                <w:sz w:val="24"/>
              </w:rPr>
            </w:pPr>
            <w:r>
              <w:rPr>
                <w:rStyle w:val="30"/>
                <w:rFonts w:hint="default" w:ascii="Times New Roman" w:hAnsi="Times New Roman" w:eastAsia="仿宋" w:cs="Times New Roman"/>
                <w:color w:val="auto"/>
                <w:sz w:val="24"/>
                <w:szCs w:val="24"/>
                <w:lang w:bidi="ar"/>
              </w:rPr>
              <w:t>环境质量改善</w:t>
            </w:r>
          </w:p>
        </w:tc>
        <w:tc>
          <w:tcPr>
            <w:tcW w:w="388" w:type="pct"/>
            <w:tcMar>
              <w:top w:w="15" w:type="dxa"/>
              <w:left w:w="15" w:type="dxa"/>
              <w:right w:w="15" w:type="dxa"/>
            </w:tcMar>
            <w:vAlign w:val="center"/>
          </w:tcPr>
          <w:p>
            <w:pPr>
              <w:widowControl/>
              <w:spacing w:line="240" w:lineRule="auto"/>
              <w:ind w:firstLine="0" w:firstLineChars="0"/>
              <w:jc w:val="center"/>
              <w:textAlignment w:val="center"/>
              <w:rPr>
                <w:sz w:val="24"/>
              </w:rPr>
            </w:pPr>
            <w:r>
              <w:rPr>
                <w:kern w:val="0"/>
                <w:sz w:val="24"/>
                <w:lang w:bidi="ar"/>
              </w:rPr>
              <w:t>l</w:t>
            </w:r>
          </w:p>
        </w:tc>
        <w:tc>
          <w:tcPr>
            <w:tcW w:w="1779" w:type="pct"/>
            <w:tcMar>
              <w:top w:w="15" w:type="dxa"/>
              <w:left w:w="15" w:type="dxa"/>
              <w:right w:w="15" w:type="dxa"/>
            </w:tcMar>
            <w:vAlign w:val="center"/>
          </w:tcPr>
          <w:p>
            <w:pPr>
              <w:widowControl/>
              <w:spacing w:line="240" w:lineRule="auto"/>
              <w:ind w:firstLine="0" w:firstLineChars="0"/>
              <w:jc w:val="left"/>
              <w:textAlignment w:val="center"/>
              <w:rPr>
                <w:sz w:val="24"/>
              </w:rPr>
            </w:pPr>
            <w:r>
              <w:rPr>
                <w:rFonts w:hint="eastAsia"/>
                <w:sz w:val="24"/>
              </w:rPr>
              <w:t>城市空气质量优良天数比率（%）</w:t>
            </w:r>
          </w:p>
        </w:tc>
        <w:tc>
          <w:tcPr>
            <w:tcW w:w="709"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99.7</w:t>
            </w:r>
          </w:p>
        </w:tc>
        <w:tc>
          <w:tcPr>
            <w:tcW w:w="618"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tcMar>
              <w:top w:w="15" w:type="dxa"/>
              <w:left w:w="15" w:type="dxa"/>
              <w:right w:w="15" w:type="dxa"/>
            </w:tcMar>
            <w:vAlign w:val="center"/>
          </w:tcPr>
          <w:p>
            <w:pPr>
              <w:widowControl/>
              <w:spacing w:line="240" w:lineRule="auto"/>
              <w:ind w:firstLine="0" w:firstLineChars="0"/>
              <w:jc w:val="center"/>
              <w:textAlignment w:val="center"/>
              <w:rPr>
                <w:sz w:val="24"/>
              </w:rPr>
            </w:pPr>
            <w:r>
              <w:rPr>
                <w:kern w:val="0"/>
                <w:sz w:val="24"/>
                <w:lang w:bidi="ar"/>
              </w:rPr>
              <w:t>2</w:t>
            </w:r>
          </w:p>
        </w:tc>
        <w:tc>
          <w:tcPr>
            <w:tcW w:w="1779" w:type="pct"/>
            <w:tcMar>
              <w:top w:w="15" w:type="dxa"/>
              <w:left w:w="15" w:type="dxa"/>
              <w:right w:w="15" w:type="dxa"/>
            </w:tcMar>
            <w:vAlign w:val="center"/>
          </w:tcPr>
          <w:p>
            <w:pPr>
              <w:widowControl/>
              <w:spacing w:line="240" w:lineRule="auto"/>
              <w:ind w:firstLine="0" w:firstLineChars="0"/>
              <w:jc w:val="left"/>
              <w:textAlignment w:val="center"/>
              <w:rPr>
                <w:sz w:val="24"/>
              </w:rPr>
            </w:pPr>
            <w:r>
              <w:rPr>
                <w:rFonts w:hint="eastAsia"/>
                <w:sz w:val="24"/>
              </w:rPr>
              <w:t>市城市细颗粒物（PM</w:t>
            </w:r>
            <w:r>
              <w:rPr>
                <w:rFonts w:hint="eastAsia"/>
                <w:sz w:val="24"/>
                <w:vertAlign w:val="subscript"/>
              </w:rPr>
              <w:t>2.5</w:t>
            </w:r>
            <w:r>
              <w:rPr>
                <w:rFonts w:hint="eastAsia"/>
                <w:sz w:val="24"/>
              </w:rPr>
              <w:t>）浓度</w:t>
            </w:r>
          </w:p>
        </w:tc>
        <w:tc>
          <w:tcPr>
            <w:tcW w:w="709"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11</w:t>
            </w:r>
          </w:p>
        </w:tc>
        <w:tc>
          <w:tcPr>
            <w:tcW w:w="618"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tcMar>
              <w:top w:w="15" w:type="dxa"/>
              <w:left w:w="15" w:type="dxa"/>
              <w:right w:w="15" w:type="dxa"/>
            </w:tcMar>
            <w:vAlign w:val="center"/>
          </w:tcPr>
          <w:p>
            <w:pPr>
              <w:widowControl/>
              <w:spacing w:line="240" w:lineRule="auto"/>
              <w:ind w:firstLine="0" w:firstLineChars="0"/>
              <w:jc w:val="center"/>
              <w:textAlignment w:val="center"/>
              <w:rPr>
                <w:sz w:val="24"/>
              </w:rPr>
            </w:pPr>
            <w:r>
              <w:rPr>
                <w:kern w:val="0"/>
                <w:sz w:val="24"/>
                <w:lang w:bidi="ar"/>
              </w:rPr>
              <w:t>3</w:t>
            </w:r>
          </w:p>
        </w:tc>
        <w:tc>
          <w:tcPr>
            <w:tcW w:w="1779" w:type="pct"/>
            <w:tcMar>
              <w:top w:w="15" w:type="dxa"/>
              <w:left w:w="15" w:type="dxa"/>
              <w:right w:w="15" w:type="dxa"/>
            </w:tcMar>
            <w:vAlign w:val="center"/>
          </w:tcPr>
          <w:p>
            <w:pPr>
              <w:widowControl/>
              <w:spacing w:line="240" w:lineRule="auto"/>
              <w:ind w:firstLine="0" w:firstLineChars="0"/>
              <w:jc w:val="left"/>
              <w:textAlignment w:val="center"/>
              <w:rPr>
                <w:sz w:val="24"/>
              </w:rPr>
            </w:pPr>
            <w:r>
              <w:rPr>
                <w:rFonts w:hint="eastAsia"/>
                <w:sz w:val="24"/>
              </w:rPr>
              <w:t>水质好于Ⅲ类的河流断面比例（%）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100</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100</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4</w:t>
            </w:r>
          </w:p>
        </w:tc>
        <w:tc>
          <w:tcPr>
            <w:tcW w:w="1779" w:type="pct"/>
            <w:tcMar>
              <w:top w:w="15" w:type="dxa"/>
              <w:left w:w="15" w:type="dxa"/>
              <w:right w:w="15" w:type="dxa"/>
            </w:tcMar>
            <w:vAlign w:val="center"/>
          </w:tcPr>
          <w:p>
            <w:pPr>
              <w:widowControl/>
              <w:spacing w:line="240" w:lineRule="auto"/>
              <w:ind w:firstLine="0" w:firstLineChars="0"/>
              <w:jc w:val="left"/>
              <w:textAlignment w:val="center"/>
              <w:rPr>
                <w:sz w:val="24"/>
              </w:rPr>
            </w:pPr>
            <w:r>
              <w:rPr>
                <w:rFonts w:hint="eastAsia"/>
                <w:sz w:val="24"/>
              </w:rPr>
              <w:t>水质为劣Ⅴ类的河流断面比例（%）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0</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0</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r>
              <w:rPr>
                <w:rStyle w:val="30"/>
                <w:rFonts w:hint="default" w:ascii="Times New Roman" w:hAnsi="Times New Roman" w:eastAsia="仿宋" w:cs="Times New Roman"/>
                <w:color w:val="auto"/>
                <w:sz w:val="24"/>
                <w:szCs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5</w:t>
            </w:r>
          </w:p>
        </w:tc>
        <w:tc>
          <w:tcPr>
            <w:tcW w:w="1779" w:type="pct"/>
            <w:tcMar>
              <w:top w:w="15" w:type="dxa"/>
              <w:left w:w="15" w:type="dxa"/>
              <w:right w:w="15" w:type="dxa"/>
            </w:tcMar>
            <w:vAlign w:val="center"/>
          </w:tcPr>
          <w:p>
            <w:pPr>
              <w:widowControl/>
              <w:snapToGrid w:val="0"/>
              <w:spacing w:line="320" w:lineRule="exact"/>
              <w:ind w:firstLine="0" w:firstLineChars="0"/>
              <w:rPr>
                <w:sz w:val="24"/>
              </w:rPr>
            </w:pPr>
            <w:r>
              <w:rPr>
                <w:rFonts w:hint="eastAsia"/>
                <w:sz w:val="24"/>
              </w:rPr>
              <w:t>城市黑臭水体比例（%）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消除</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6</w:t>
            </w:r>
          </w:p>
        </w:tc>
        <w:tc>
          <w:tcPr>
            <w:tcW w:w="1779" w:type="pct"/>
            <w:tcMar>
              <w:top w:w="15" w:type="dxa"/>
              <w:left w:w="15" w:type="dxa"/>
              <w:right w:w="15" w:type="dxa"/>
            </w:tcMar>
            <w:vAlign w:val="center"/>
          </w:tcPr>
          <w:p>
            <w:pPr>
              <w:widowControl/>
              <w:snapToGrid w:val="0"/>
              <w:spacing w:line="320" w:lineRule="exact"/>
              <w:ind w:firstLine="0" w:firstLineChars="0"/>
              <w:rPr>
                <w:sz w:val="24"/>
              </w:rPr>
            </w:pPr>
            <w:r>
              <w:rPr>
                <w:rFonts w:hint="eastAsia"/>
                <w:sz w:val="24"/>
              </w:rPr>
              <w:t>地下水质量Ⅴ类水比例（%）</w:t>
            </w:r>
          </w:p>
        </w:tc>
        <w:tc>
          <w:tcPr>
            <w:tcW w:w="709"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0</w:t>
            </w:r>
          </w:p>
        </w:tc>
        <w:tc>
          <w:tcPr>
            <w:tcW w:w="618"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0</w:t>
            </w:r>
          </w:p>
        </w:tc>
        <w:tc>
          <w:tcPr>
            <w:tcW w:w="807"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7</w:t>
            </w:r>
          </w:p>
        </w:tc>
        <w:tc>
          <w:tcPr>
            <w:tcW w:w="1779" w:type="pct"/>
            <w:tcMar>
              <w:top w:w="15" w:type="dxa"/>
              <w:left w:w="15" w:type="dxa"/>
              <w:right w:w="15" w:type="dxa"/>
            </w:tcMar>
            <w:vAlign w:val="center"/>
          </w:tcPr>
          <w:p>
            <w:pPr>
              <w:widowControl/>
              <w:snapToGrid w:val="0"/>
              <w:spacing w:line="320" w:lineRule="exact"/>
              <w:ind w:firstLine="0" w:firstLineChars="0"/>
              <w:rPr>
                <w:sz w:val="24"/>
              </w:rPr>
            </w:pPr>
            <w:r>
              <w:rPr>
                <w:rFonts w:hint="eastAsia"/>
                <w:sz w:val="24"/>
              </w:rPr>
              <w:t>农村生活污水治理率（%）</w:t>
            </w:r>
          </w:p>
        </w:tc>
        <w:tc>
          <w:tcPr>
            <w:tcW w:w="709"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w:t>
            </w:r>
          </w:p>
        </w:tc>
        <w:tc>
          <w:tcPr>
            <w:tcW w:w="618"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30左右</w:t>
            </w:r>
          </w:p>
        </w:tc>
        <w:tc>
          <w:tcPr>
            <w:tcW w:w="807" w:type="pct"/>
            <w:noWrap/>
            <w:tcMar>
              <w:top w:w="15" w:type="dxa"/>
              <w:left w:w="15" w:type="dxa"/>
              <w:right w:w="15" w:type="dxa"/>
            </w:tcMar>
            <w:vAlign w:val="center"/>
          </w:tcPr>
          <w:p>
            <w:pPr>
              <w:snapToGrid w:val="0"/>
              <w:spacing w:line="320" w:lineRule="exact"/>
              <w:ind w:firstLine="0" w:firstLineChars="0"/>
              <w:jc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restart"/>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r>
              <w:rPr>
                <w:rStyle w:val="30"/>
                <w:rFonts w:hint="default" w:ascii="Times New Roman" w:hAnsi="Times New Roman" w:eastAsia="仿宋" w:cs="Times New Roman"/>
                <w:color w:val="auto"/>
                <w:sz w:val="24"/>
                <w:szCs w:val="24"/>
                <w:lang w:bidi="ar"/>
              </w:rPr>
              <w:t>应对气</w:t>
            </w:r>
          </w:p>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r>
              <w:rPr>
                <w:rStyle w:val="30"/>
                <w:rFonts w:hint="default" w:ascii="Times New Roman" w:hAnsi="Times New Roman" w:eastAsia="仿宋" w:cs="Times New Roman"/>
                <w:color w:val="auto"/>
                <w:sz w:val="24"/>
                <w:szCs w:val="24"/>
                <w:lang w:bidi="ar"/>
              </w:rPr>
              <w:t>候变化</w:t>
            </w: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8</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单位地区生产总值二氧化碳排放降低比例（%）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lang w:bidi="ar"/>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continue"/>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9</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单位地区生产总值能源消耗降低比例（%）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lang w:bidi="ar"/>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continue"/>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10</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非化石能源占一次能源消费比例（%）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restart"/>
            <w:tcMar>
              <w:top w:w="15" w:type="dxa"/>
              <w:left w:w="15" w:type="dxa"/>
              <w:right w:w="15" w:type="dxa"/>
            </w:tcMar>
            <w:vAlign w:val="center"/>
          </w:tcPr>
          <w:p>
            <w:pPr>
              <w:widowControl/>
              <w:spacing w:line="240" w:lineRule="auto"/>
              <w:ind w:firstLine="0" w:firstLineChars="0"/>
              <w:jc w:val="center"/>
              <w:textAlignment w:val="center"/>
              <w:rPr>
                <w:sz w:val="24"/>
              </w:rPr>
            </w:pPr>
            <w:r>
              <w:rPr>
                <w:rStyle w:val="30"/>
                <w:rFonts w:hint="default" w:ascii="Times New Roman" w:hAnsi="Times New Roman" w:eastAsia="仿宋" w:cs="Times New Roman"/>
                <w:color w:val="auto"/>
                <w:sz w:val="24"/>
                <w:szCs w:val="24"/>
                <w:lang w:bidi="ar"/>
              </w:rPr>
              <w:t>污染物排放总量控制</w:t>
            </w: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11</w:t>
            </w:r>
          </w:p>
        </w:tc>
        <w:tc>
          <w:tcPr>
            <w:tcW w:w="1779" w:type="pct"/>
            <w:tcMar>
              <w:top w:w="15" w:type="dxa"/>
              <w:left w:w="15" w:type="dxa"/>
              <w:right w:w="15" w:type="dxa"/>
            </w:tcMar>
            <w:vAlign w:val="center"/>
          </w:tcPr>
          <w:p>
            <w:pPr>
              <w:widowControl/>
              <w:spacing w:line="240" w:lineRule="auto"/>
              <w:ind w:firstLine="0" w:firstLineChars="0"/>
              <w:jc w:val="left"/>
              <w:textAlignment w:val="center"/>
              <w:rPr>
                <w:sz w:val="24"/>
              </w:rPr>
            </w:pPr>
            <w:r>
              <w:rPr>
                <w:rFonts w:hint="eastAsia"/>
                <w:sz w:val="24"/>
              </w:rPr>
              <w:t>氮氧化物重点工程减排量</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spacing w:line="240" w:lineRule="auto"/>
              <w:ind w:firstLine="0" w:firstLineChars="0"/>
              <w:jc w:val="center"/>
              <w:rPr>
                <w:sz w:val="24"/>
              </w:rPr>
            </w:pPr>
            <w:r>
              <w:rPr>
                <w:rFonts w:hint="eastAsia"/>
                <w:sz w:val="24"/>
              </w:rPr>
              <w:t>12</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挥发性有机物重点工程减排量</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spacing w:line="240" w:lineRule="auto"/>
              <w:ind w:firstLine="0" w:firstLineChars="0"/>
              <w:jc w:val="center"/>
              <w:rPr>
                <w:sz w:val="24"/>
              </w:rPr>
            </w:pPr>
            <w:r>
              <w:rPr>
                <w:rFonts w:hint="eastAsia"/>
                <w:sz w:val="24"/>
              </w:rPr>
              <w:t>13</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化学需氧量重点工程减排量</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spacing w:line="240" w:lineRule="auto"/>
              <w:ind w:firstLine="0" w:firstLineChars="0"/>
              <w:jc w:val="center"/>
              <w:rPr>
                <w:sz w:val="24"/>
              </w:rPr>
            </w:pPr>
            <w:r>
              <w:rPr>
                <w:rFonts w:hint="eastAsia"/>
                <w:sz w:val="24"/>
              </w:rPr>
              <w:t>14</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氨氮重点工程减排量</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lang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restart"/>
            <w:tcMar>
              <w:top w:w="15" w:type="dxa"/>
              <w:left w:w="15" w:type="dxa"/>
              <w:right w:w="15" w:type="dxa"/>
            </w:tcMar>
            <w:vAlign w:val="center"/>
          </w:tcPr>
          <w:p>
            <w:pPr>
              <w:widowControl/>
              <w:spacing w:line="240" w:lineRule="auto"/>
              <w:ind w:firstLine="0" w:firstLineChars="0"/>
              <w:jc w:val="center"/>
              <w:textAlignment w:val="center"/>
              <w:rPr>
                <w:sz w:val="24"/>
              </w:rPr>
            </w:pPr>
            <w:r>
              <w:rPr>
                <w:kern w:val="0"/>
                <w:sz w:val="24"/>
                <w:lang w:bidi="ar"/>
              </w:rPr>
              <w:t>环境风险防控</w:t>
            </w: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15</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受污染耕地安全利用率（%）</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100</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16</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重点建设用地安全利用（%）</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有效保障</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17</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放射源辐射事故年发生率（%）</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0</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restart"/>
            <w:tcMar>
              <w:top w:w="15" w:type="dxa"/>
              <w:left w:w="15" w:type="dxa"/>
              <w:right w:w="15" w:type="dxa"/>
            </w:tcMar>
            <w:vAlign w:val="center"/>
          </w:tcPr>
          <w:p>
            <w:pPr>
              <w:widowControl/>
              <w:spacing w:line="240" w:lineRule="auto"/>
              <w:ind w:firstLine="0" w:firstLineChars="0"/>
              <w:jc w:val="center"/>
              <w:textAlignment w:val="center"/>
              <w:rPr>
                <w:sz w:val="24"/>
              </w:rPr>
            </w:pPr>
            <w:r>
              <w:rPr>
                <w:kern w:val="0"/>
                <w:sz w:val="24"/>
                <w:lang w:bidi="ar"/>
              </w:rPr>
              <w:t>生态保护</w:t>
            </w: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18</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县域生态质量指数（新EI）</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sz w:val="24"/>
              </w:rPr>
              <w:t>稳中向好</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kern w:val="0"/>
                <w:sz w:val="24"/>
                <w:lang w:bidi="ar"/>
              </w:rPr>
              <w:t>19</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森林覆盖率（%）</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rFonts w:hint="default" w:eastAsia="仿宋"/>
                <w:sz w:val="24"/>
                <w:lang w:val="en-US" w:eastAsia="zh-CN"/>
              </w:rPr>
            </w:pPr>
            <w:r>
              <w:rPr>
                <w:rFonts w:hint="eastAsia"/>
                <w:sz w:val="24"/>
              </w:rPr>
              <w:t>6.</w:t>
            </w:r>
            <w:r>
              <w:rPr>
                <w:rFonts w:hint="eastAsia"/>
                <w:sz w:val="24"/>
                <w:lang w:val="en-US" w:eastAsia="zh-CN"/>
              </w:rPr>
              <w:t>55</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ascii="仿宋" w:hAnsi="仿宋" w:cs="仿宋"/>
                <w:kern w:val="0"/>
                <w:sz w:val="24"/>
                <w:lang w:bidi="ar"/>
              </w:rPr>
              <w:t>完成市定目标</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97" w:type="pct"/>
            <w:vMerge w:val="continue"/>
            <w:tcMar>
              <w:top w:w="15" w:type="dxa"/>
              <w:left w:w="15" w:type="dxa"/>
              <w:right w:w="15" w:type="dxa"/>
            </w:tcMar>
            <w:vAlign w:val="center"/>
          </w:tcPr>
          <w:p>
            <w:pPr>
              <w:spacing w:line="240" w:lineRule="auto"/>
              <w:ind w:firstLine="0" w:firstLineChars="0"/>
              <w:jc w:val="center"/>
              <w:rPr>
                <w:sz w:val="24"/>
              </w:rPr>
            </w:pPr>
          </w:p>
        </w:tc>
        <w:tc>
          <w:tcPr>
            <w:tcW w:w="388" w:type="pct"/>
            <w:noWrap/>
            <w:tcMar>
              <w:top w:w="15" w:type="dxa"/>
              <w:left w:w="15" w:type="dxa"/>
              <w:right w:w="15" w:type="dxa"/>
            </w:tcMar>
            <w:vAlign w:val="center"/>
          </w:tcPr>
          <w:p>
            <w:pPr>
              <w:widowControl/>
              <w:spacing w:line="240" w:lineRule="auto"/>
              <w:ind w:firstLine="0" w:firstLineChars="0"/>
              <w:jc w:val="center"/>
              <w:textAlignment w:val="center"/>
              <w:rPr>
                <w:kern w:val="0"/>
                <w:sz w:val="24"/>
                <w:lang w:bidi="ar"/>
              </w:rPr>
            </w:pPr>
            <w:r>
              <w:rPr>
                <w:rFonts w:hint="eastAsia"/>
                <w:kern w:val="0"/>
                <w:sz w:val="24"/>
                <w:lang w:bidi="ar"/>
              </w:rPr>
              <w:t>20</w:t>
            </w:r>
          </w:p>
        </w:tc>
        <w:tc>
          <w:tcPr>
            <w:tcW w:w="1779" w:type="pct"/>
            <w:tcMar>
              <w:top w:w="15" w:type="dxa"/>
              <w:left w:w="15" w:type="dxa"/>
              <w:right w:w="15" w:type="dxa"/>
            </w:tcMar>
            <w:vAlign w:val="center"/>
          </w:tcPr>
          <w:p>
            <w:pPr>
              <w:widowControl/>
              <w:spacing w:line="240" w:lineRule="auto"/>
              <w:ind w:firstLine="0" w:firstLineChars="0"/>
              <w:jc w:val="left"/>
              <w:textAlignment w:val="center"/>
              <w:rPr>
                <w:kern w:val="0"/>
                <w:sz w:val="24"/>
                <w:lang w:bidi="ar"/>
              </w:rPr>
            </w:pPr>
            <w:r>
              <w:rPr>
                <w:rFonts w:hint="eastAsia"/>
                <w:kern w:val="0"/>
                <w:sz w:val="24"/>
                <w:lang w:bidi="ar"/>
              </w:rPr>
              <w:t>生态保护红线占国土面积比例（%）</w:t>
            </w:r>
          </w:p>
        </w:tc>
        <w:tc>
          <w:tcPr>
            <w:tcW w:w="709"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w:t>
            </w:r>
          </w:p>
        </w:tc>
        <w:tc>
          <w:tcPr>
            <w:tcW w:w="618" w:type="pct"/>
            <w:noWrap/>
            <w:tcMar>
              <w:top w:w="15" w:type="dxa"/>
              <w:left w:w="15" w:type="dxa"/>
              <w:right w:w="15" w:type="dxa"/>
            </w:tcMar>
            <w:vAlign w:val="center"/>
          </w:tcPr>
          <w:p>
            <w:pPr>
              <w:widowControl/>
              <w:spacing w:line="240" w:lineRule="auto"/>
              <w:ind w:firstLine="0" w:firstLineChars="0"/>
              <w:jc w:val="center"/>
              <w:textAlignment w:val="center"/>
              <w:rPr>
                <w:sz w:val="24"/>
              </w:rPr>
            </w:pPr>
            <w:r>
              <w:rPr>
                <w:rFonts w:hint="eastAsia"/>
                <w:sz w:val="24"/>
              </w:rPr>
              <w:t>不降低</w:t>
            </w:r>
          </w:p>
        </w:tc>
        <w:tc>
          <w:tcPr>
            <w:tcW w:w="807" w:type="pct"/>
            <w:noWrap/>
            <w:tcMar>
              <w:top w:w="15" w:type="dxa"/>
              <w:left w:w="15" w:type="dxa"/>
              <w:right w:w="15" w:type="dxa"/>
            </w:tcMar>
            <w:vAlign w:val="center"/>
          </w:tcPr>
          <w:p>
            <w:pPr>
              <w:widowControl/>
              <w:spacing w:line="240" w:lineRule="auto"/>
              <w:ind w:firstLine="0" w:firstLineChars="0"/>
              <w:jc w:val="center"/>
              <w:textAlignment w:val="center"/>
              <w:rPr>
                <w:rStyle w:val="30"/>
                <w:rFonts w:hint="default" w:ascii="Times New Roman" w:hAnsi="Times New Roman" w:eastAsia="仿宋" w:cs="Times New Roman"/>
                <w:color w:val="auto"/>
                <w:sz w:val="24"/>
                <w:szCs w:val="24"/>
                <w:lang w:bidi="ar"/>
              </w:rPr>
            </w:pPr>
            <w:r>
              <w:rPr>
                <w:rStyle w:val="30"/>
                <w:rFonts w:hint="default" w:ascii="Times New Roman" w:hAnsi="Times New Roman" w:eastAsia="仿宋" w:cs="Times New Roman"/>
                <w:color w:val="auto"/>
                <w:sz w:val="24"/>
                <w:szCs w:val="24"/>
                <w:lang w:bidi="ar"/>
              </w:rPr>
              <w:t>预期性</w:t>
            </w:r>
          </w:p>
        </w:tc>
      </w:tr>
    </w:tbl>
    <w:p>
      <w:pPr>
        <w:ind w:firstLine="56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13" w:name="_Toc13426"/>
      <w:r>
        <w:rPr>
          <w:rFonts w:hint="eastAsia"/>
          <w:sz w:val="32"/>
          <w:szCs w:val="32"/>
        </w:rPr>
        <w:t>第三章 促进绿色低碳发展</w:t>
      </w:r>
      <w:bookmarkEnd w:id="13"/>
    </w:p>
    <w:p>
      <w:pPr>
        <w:widowControl/>
        <w:ind w:firstLine="0" w:firstLineChars="0"/>
        <w:jc w:val="center"/>
        <w:outlineLvl w:val="1"/>
        <w:rPr>
          <w:b/>
          <w:bCs/>
          <w:sz w:val="32"/>
          <w:szCs w:val="32"/>
        </w:rPr>
      </w:pPr>
      <w:bookmarkStart w:id="14" w:name="_Toc21220"/>
      <w:r>
        <w:rPr>
          <w:rFonts w:hint="eastAsia"/>
          <w:b/>
          <w:bCs/>
          <w:sz w:val="32"/>
          <w:szCs w:val="32"/>
        </w:rPr>
        <w:t>第一节 完善绿色发展机制</w:t>
      </w:r>
      <w:bookmarkEnd w:id="14"/>
    </w:p>
    <w:p>
      <w:pPr>
        <w:ind w:firstLine="562"/>
      </w:pPr>
      <w:r>
        <w:rPr>
          <w:rFonts w:hint="eastAsia"/>
          <w:b/>
          <w:bCs/>
        </w:rPr>
        <w:t>实施最严格的生态保护制度。</w:t>
      </w:r>
      <w:r>
        <w:rPr>
          <w:rFonts w:hint="eastAsia"/>
        </w:rPr>
        <w:t>坚决遏制高耗能、高排放项目盲目发展，对高耗能、高排放项目实行清单管理、分类处置、动态监控。落实“三线一单”生态环境分区管控，加强“三线一单”成果在政策制定、环境准入、园区管理、执法监管等方面的应用。严格落实环境保护“一票否决”制度，依法依规严格规划环评审查和项目环评准入，强化“三线一单”硬约束。</w:t>
      </w:r>
    </w:p>
    <w:p>
      <w:pPr>
        <w:ind w:firstLine="562"/>
      </w:pPr>
      <w:r>
        <w:rPr>
          <w:rFonts w:hint="eastAsia"/>
          <w:b/>
          <w:bCs/>
          <w:color w:val="000000"/>
        </w:rPr>
        <w:t>打造国土空间开发保护新格局。</w:t>
      </w:r>
      <w:r>
        <w:rPr>
          <w:rFonts w:hint="eastAsia"/>
          <w:color w:val="000000"/>
        </w:rPr>
        <w:t>深入实施主体功能区战略，立足资源环境承载能力，持续优化重点生态功能区、农产品主产区、城市化发展区三大空间格局。支持重点生态功能区把发展重点放到保护生态环境、提供生态产品上。</w:t>
      </w:r>
      <w:r>
        <w:rPr>
          <w:rFonts w:hint="eastAsia"/>
        </w:rPr>
        <w:t>合理确定新增建设用地规模，严格控制建设项目土地使用标准，提高资源利用效率。严格落实国家绿色产业指导目录标准，依法依规把好土地审批供应关，加强建设用地准入监管。全面推进绿色矿山建设，规范绿色矿山第三方评估，推广矿产资源节约与综合利用先进技术。</w:t>
      </w:r>
    </w:p>
    <w:p>
      <w:pPr>
        <w:ind w:firstLine="562"/>
      </w:pPr>
      <w:r>
        <w:rPr>
          <w:b/>
          <w:bCs/>
        </w:rPr>
        <w:t>严明生态环境保护责任制度。</w:t>
      </w:r>
      <w:r>
        <w:rPr>
          <w:rFonts w:hint="eastAsia"/>
        </w:rPr>
        <w:t>严格执行《伊吾县有关部门生态环境保护责任清单》，落实“党政同</w:t>
      </w:r>
      <w:r>
        <w:t>责、一岗双责</w:t>
      </w:r>
      <w:r>
        <w:rPr>
          <w:rFonts w:hint="eastAsia"/>
        </w:rPr>
        <w:t>”，稳妥推进生态环境损害赔偿改革实践，落实生态环境公益诉讼、党政领导干部自然资源资产离任审计和生态环境损害责任终身追究制度。实施多元化、市场化生态补偿机制。</w:t>
      </w:r>
    </w:p>
    <w:p>
      <w:pPr>
        <w:widowControl/>
        <w:ind w:firstLine="0" w:firstLineChars="0"/>
        <w:jc w:val="center"/>
        <w:outlineLvl w:val="1"/>
        <w:rPr>
          <w:b/>
          <w:bCs/>
          <w:sz w:val="32"/>
          <w:szCs w:val="32"/>
        </w:rPr>
      </w:pPr>
      <w:bookmarkStart w:id="15" w:name="_Toc13691"/>
      <w:r>
        <w:rPr>
          <w:rFonts w:hint="eastAsia"/>
          <w:b/>
          <w:bCs/>
          <w:sz w:val="32"/>
          <w:szCs w:val="32"/>
        </w:rPr>
        <w:t>第二节 推进产业体系优化升级</w:t>
      </w:r>
      <w:bookmarkEnd w:id="15"/>
    </w:p>
    <w:p>
      <w:pPr>
        <w:ind w:firstLine="562"/>
      </w:pPr>
      <w:r>
        <w:rPr>
          <w:rFonts w:hint="eastAsia"/>
          <w:b/>
          <w:bCs/>
        </w:rPr>
        <w:t>推进产业转型升级。</w:t>
      </w:r>
      <w:r>
        <w:rPr>
          <w:rFonts w:hint="eastAsia"/>
        </w:rPr>
        <w:t>坚持推进产业结构优化调整，充分利用淖毛湖矿区煤炭资源，引导煤化工产业链向下游延伸，积极推进煤制烯烃、芳烃、乙二醇及下游产业创新发展，提高煤炭资源综合利用水平。支持企业实施智能化改造升级，推动煤化工、焦化、建材、农副产品加工等传统产业的重点企业改进工艺、节能降耗、提质增效，促进传统产业向高端化、智能化、绿色化发展。在电力、建材等重点行业领域实施减污降碳行动，加快实施限制类产能装备的升级改造。</w:t>
      </w:r>
    </w:p>
    <w:p>
      <w:pPr>
        <w:ind w:firstLine="562"/>
      </w:pPr>
      <w:r>
        <w:rPr>
          <w:rFonts w:hint="eastAsia" w:eastAsia="仿宋_GB2312"/>
          <w:b/>
          <w:bCs/>
          <w:color w:val="000000"/>
          <w:szCs w:val="32"/>
        </w:rPr>
        <w:t>加快产业布局优化调整。</w:t>
      </w:r>
      <w:r>
        <w:rPr>
          <w:rFonts w:hint="eastAsia"/>
        </w:rPr>
        <w:t>推动煤化工、建材等原材料产业布局优化和结构调整，持续提高工业园区集聚水平。推进伊吾工业园区智慧园区建设，按照“减量化”、“可循环”、“再利用”、“零污染”模式加快优化改造，补齐环境保护基础设施短板，完善园区综合利用配套设施，推动公共设施共建共享、能源梯级利用、资源循环利用和污染物集中安全处置。</w:t>
      </w:r>
    </w:p>
    <w:p>
      <w:pPr>
        <w:ind w:firstLine="562"/>
      </w:pPr>
      <w:r>
        <w:rPr>
          <w:rFonts w:hint="eastAsia"/>
          <w:b/>
          <w:bCs/>
        </w:rPr>
        <w:t>积极发展绿色环保产业。</w:t>
      </w:r>
      <w:r>
        <w:rPr>
          <w:rFonts w:hint="eastAsia"/>
        </w:rPr>
        <w:t>扩大战略性新兴产业投资，加快壮大新能源、新材料、节能环保等产业。推进5G、物联网、云计算、大数据、区块链、人工智能等新一代信息技术与绿色环保产业深度融合创新，不断探索“互联网+”创新绿色产业模式</w:t>
      </w:r>
    </w:p>
    <w:p>
      <w:pPr>
        <w:widowControl/>
        <w:ind w:firstLine="0" w:firstLineChars="0"/>
        <w:jc w:val="center"/>
        <w:outlineLvl w:val="1"/>
        <w:rPr>
          <w:b/>
          <w:bCs/>
          <w:sz w:val="32"/>
          <w:szCs w:val="32"/>
        </w:rPr>
      </w:pPr>
      <w:bookmarkStart w:id="16" w:name="_Toc32476"/>
      <w:r>
        <w:rPr>
          <w:rFonts w:hint="eastAsia"/>
          <w:b/>
          <w:bCs/>
          <w:sz w:val="32"/>
          <w:szCs w:val="32"/>
        </w:rPr>
        <w:t>第三节 构建清洁低碳能源体系</w:t>
      </w:r>
      <w:bookmarkEnd w:id="16"/>
    </w:p>
    <w:p>
      <w:pPr>
        <w:ind w:firstLine="562"/>
      </w:pPr>
      <w:r>
        <w:rPr>
          <w:rFonts w:hint="eastAsia"/>
          <w:b/>
          <w:bCs/>
        </w:rPr>
        <w:t>严格控制煤炭消费。</w:t>
      </w:r>
      <w:r>
        <w:rPr>
          <w:rFonts w:hint="eastAsia"/>
        </w:rPr>
        <w:t>加强能耗“双控”管理，合理控制能源消费增量，优化能源消费结构。加快集中供热热源建设，积极推动以热电联产、超低排放燃煤锅炉为主，多种清洁能源为辅的供热方式。实施清洁能源行动计划，加快城乡结合部、农村民用和农业生产散烧煤的清洁能源替代，加大可再生能源消纳力度。稳步推进“煤改电”工程，拓展多种清洁供暖方式，提高清洁能源利用水平，暂不能通过清洁供暖替代散煤的地区，严禁使用劣质煤，可利用“洁净煤+节能环保炉具”替代散烧煤，或鼓励在小城镇和农村地区用户使用太阳能供暖系统。</w:t>
      </w:r>
    </w:p>
    <w:p>
      <w:pPr>
        <w:ind w:firstLine="562"/>
      </w:pPr>
      <w:r>
        <w:rPr>
          <w:rFonts w:hint="eastAsia"/>
          <w:b/>
          <w:bCs/>
        </w:rPr>
        <w:t>大力发展清洁能源。</w:t>
      </w:r>
      <w:r>
        <w:rPr>
          <w:rFonts w:hint="eastAsia"/>
        </w:rPr>
        <w:t>进一步壮大清洁能源产业，逐步提高清洁能源在能源消费中的比重。加快非化石能源发展，全力争取“疆电外送”第三通道配套电源项目，推动淖毛湖750千伏输变电工程建设，开展风电平价上网项目研究和建设，支持风、光、热等新能源发电行业发展壮大。积极发展可再生能源微电网、局域网，提高可再生能源的推广和消纳能力，落实好新增可再生能源和原料用能消费不纳入能源消费总量控制政策。大力发展清洁能源，力争成为哈密千万千瓦级光伏发电基地、千万千瓦级风电基地、百万千瓦级太阳能光热发电基地的重要组成部分。</w:t>
      </w:r>
    </w:p>
    <w:p>
      <w:pPr>
        <w:ind w:firstLine="562"/>
      </w:pPr>
      <w:r>
        <w:rPr>
          <w:rFonts w:hint="eastAsia"/>
          <w:b/>
          <w:bCs/>
        </w:rPr>
        <w:t>提升行业资源能源利用效率。</w:t>
      </w:r>
      <w:r>
        <w:rPr>
          <w:rFonts w:hint="eastAsia"/>
        </w:rPr>
        <w:t>深入开展重点行业强制性清洁生产审核，引导企业自愿开展清洁生产审核，大力推动煤炭、煤化工、电力等重点行业资源节约和循环利用，培育循环经济示范企业、示范园区。支持园区循环改造、农业循环经济综合示范区等重点工程，推进资源再生利用产业规范化、规模化发展。推广充填、保水等绿色开采技术，采用最先进节能节水环保发电技术，提高煤炭清洁利用水平。大力发展绿色建筑，推广新建建筑节能技术，开展公共建筑节能改造示范。</w:t>
      </w:r>
    </w:p>
    <w:p>
      <w:pPr>
        <w:widowControl/>
        <w:ind w:firstLine="0" w:firstLineChars="0"/>
        <w:jc w:val="center"/>
        <w:outlineLvl w:val="1"/>
        <w:rPr>
          <w:b/>
          <w:bCs/>
          <w:sz w:val="32"/>
          <w:szCs w:val="32"/>
        </w:rPr>
      </w:pPr>
      <w:bookmarkStart w:id="17" w:name="_Toc3704"/>
      <w:r>
        <w:rPr>
          <w:rFonts w:hint="eastAsia"/>
          <w:b/>
          <w:bCs/>
          <w:sz w:val="32"/>
          <w:szCs w:val="32"/>
        </w:rPr>
        <w:t>第四节 完善绿色交通运输体系</w:t>
      </w:r>
      <w:bookmarkEnd w:id="17"/>
    </w:p>
    <w:p>
      <w:pPr>
        <w:ind w:firstLine="562"/>
      </w:pPr>
      <w:r>
        <w:rPr>
          <w:rFonts w:hint="eastAsia"/>
          <w:b/>
          <w:bCs/>
        </w:rPr>
        <w:t>推动货物运输绿色转型。</w:t>
      </w:r>
      <w:r>
        <w:rPr>
          <w:rFonts w:hint="eastAsia"/>
        </w:rPr>
        <w:t>大力推广“公转铁”运输组织模式，加大运输结构调整力度，煤炭、矿石、石油等大宗货物中长距离运输以铁路或管道方式为主，</w:t>
      </w:r>
      <w:r>
        <w:rPr>
          <w:rFonts w:hint="eastAsia"/>
          <w:color w:val="000000"/>
        </w:rPr>
        <w:t>短距离货物运输优先采用新能源货车运输或封闭式皮带廊道，城市货物运输优先采用新能源轻型物流车。</w:t>
      </w:r>
      <w:r>
        <w:rPr>
          <w:rFonts w:hint="eastAsia"/>
        </w:rPr>
        <w:t>加快推进将军庙-淖毛湖铁路建设，提升工业园区铁路快装系统建设。强化货运车辆燃油消耗量限值标准管理，减少重型柴油车使用强度。加快推动城市绿色货运配送。</w:t>
      </w:r>
    </w:p>
    <w:p>
      <w:pPr>
        <w:adjustRightInd w:val="0"/>
        <w:spacing w:line="620" w:lineRule="exact"/>
        <w:ind w:firstLine="562"/>
        <w:rPr>
          <w:rFonts w:ascii="FZFSK--GBK1-0" w:hAnsi="FZFSK--GBK1-0"/>
          <w:color w:val="000000"/>
          <w:szCs w:val="32"/>
        </w:rPr>
      </w:pPr>
      <w:r>
        <w:rPr>
          <w:rFonts w:hint="eastAsia"/>
          <w:b/>
          <w:bCs/>
        </w:rPr>
        <w:t>加快车</w:t>
      </w:r>
      <w:r>
        <w:rPr>
          <w:rFonts w:hint="eastAsia"/>
          <w:b/>
          <w:bCs/>
          <w:lang w:val="en-US" w:eastAsia="zh-CN"/>
        </w:rPr>
        <w:t>辆</w:t>
      </w:r>
      <w:r>
        <w:rPr>
          <w:rFonts w:hint="eastAsia"/>
          <w:b/>
          <w:bCs/>
        </w:rPr>
        <w:t>结构升级。</w:t>
      </w:r>
      <w:r>
        <w:rPr>
          <w:rFonts w:hint="eastAsia"/>
        </w:rPr>
        <w:t>加速老旧车辆淘汰，积极推广新能源车，</w:t>
      </w:r>
      <w:r>
        <w:rPr>
          <w:rFonts w:hint="eastAsia" w:ascii="FZFSK--GBK1-0" w:hAnsi="FZFSK--GBK1-0"/>
          <w:color w:val="000000"/>
          <w:szCs w:val="32"/>
        </w:rPr>
        <w:t>在</w:t>
      </w:r>
      <w:r>
        <w:rPr>
          <w:rFonts w:hint="eastAsia"/>
        </w:rPr>
        <w:t>高速公路沿线、物流园区、</w:t>
      </w:r>
      <w:r>
        <w:rPr>
          <w:rFonts w:hint="eastAsia" w:ascii="FZFSK--GBK1-0" w:hAnsi="FZFSK--GBK1-0"/>
          <w:color w:val="000000"/>
          <w:szCs w:val="32"/>
        </w:rPr>
        <w:t>大型商业购物中心、农贸批发市场等物流集散地建设集中式充电桩和快速充电桩，积极开展充电桩进小区相关工作。逐年增加新能源车辆占比，在城市公共交通、物流配送、物料运输、公务用车等领域优先推进使用新能源车辆。</w:t>
      </w:r>
    </w:p>
    <w:p>
      <w:pPr>
        <w:ind w:firstLine="600"/>
        <w:rPr>
          <w:rFonts w:ascii="宋体" w:hAnsi="宋体" w:cs="宋体"/>
          <w:bCs/>
          <w:sz w:val="30"/>
          <w:szCs w:val="30"/>
        </w:rPr>
      </w:pPr>
    </w:p>
    <w:p>
      <w:pPr>
        <w:ind w:firstLine="562"/>
        <w:rPr>
          <w:b/>
          <w:bCs/>
        </w:rPr>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18" w:name="_Toc7899"/>
      <w:r>
        <w:rPr>
          <w:rFonts w:hint="eastAsia"/>
          <w:sz w:val="32"/>
          <w:szCs w:val="32"/>
        </w:rPr>
        <w:t>第四章 控制温室气体排放</w:t>
      </w:r>
      <w:bookmarkEnd w:id="18"/>
    </w:p>
    <w:p>
      <w:pPr>
        <w:widowControl/>
        <w:ind w:firstLine="0" w:firstLineChars="0"/>
        <w:jc w:val="center"/>
        <w:outlineLvl w:val="1"/>
        <w:rPr>
          <w:b/>
          <w:bCs/>
          <w:sz w:val="32"/>
          <w:szCs w:val="32"/>
        </w:rPr>
      </w:pPr>
      <w:bookmarkStart w:id="19" w:name="_Toc26813"/>
      <w:r>
        <w:rPr>
          <w:rFonts w:hint="eastAsia"/>
          <w:b/>
          <w:bCs/>
          <w:sz w:val="32"/>
          <w:szCs w:val="32"/>
        </w:rPr>
        <w:t>第一节 推进温室气体排放控制</w:t>
      </w:r>
      <w:bookmarkEnd w:id="19"/>
    </w:p>
    <w:p>
      <w:pPr>
        <w:ind w:firstLine="562"/>
      </w:pPr>
      <w:r>
        <w:rPr>
          <w:rFonts w:hint="eastAsia"/>
          <w:b/>
          <w:bCs/>
        </w:rPr>
        <w:t>落实二氧化碳排放达峰行动。</w:t>
      </w:r>
      <w:r>
        <w:rPr>
          <w:rFonts w:hint="eastAsia"/>
        </w:rPr>
        <w:t>贯彻落实自治区、哈密市碳达峰相关工作要求，积极推动重点行业、重点企业率先达峰。推动建材、有色、化工、电力、煤炭等重点行业明确碳达峰路径，深入开展碳达峰行动。探索开展重点行业企业碳排放对标行动。</w:t>
      </w:r>
    </w:p>
    <w:p>
      <w:pPr>
        <w:ind w:firstLine="562"/>
      </w:pPr>
      <w:r>
        <w:rPr>
          <w:rFonts w:hint="eastAsia"/>
          <w:b/>
          <w:bCs/>
        </w:rPr>
        <w:t>控制工业过程温室气体排放。</w:t>
      </w:r>
      <w:r>
        <w:rPr>
          <w:rFonts w:hint="eastAsia"/>
        </w:rPr>
        <w:t>严格控制高耗能、高排放项目准入，合理控制能源消费增量和强度，加快发展风电、光伏、光热等可再生能源，提高清洁能源消费比重。</w:t>
      </w:r>
      <w:r>
        <w:rPr>
          <w:rFonts w:hint="eastAsia" w:ascii="仿宋" w:hAnsi="仿宋" w:cs="仿宋"/>
          <w:color w:val="000000"/>
        </w:rPr>
        <w:t>推动重点行业清洁生产和绿色化改造，</w:t>
      </w:r>
      <w:r>
        <w:rPr>
          <w:rFonts w:hint="eastAsia"/>
        </w:rPr>
        <w:t>坚持绿色低碳循环发展方向，加大煤化工等传统产业低碳化、循环化、生态化改造，推广应用节能环保新技术、新工艺、新设备、新材料，把伊吾工业园区打造成国家级煤炭分级提质综合利用的示范基地。</w:t>
      </w:r>
    </w:p>
    <w:p>
      <w:pPr>
        <w:ind w:firstLine="562"/>
        <w:rPr>
          <w:rFonts w:ascii="仿宋" w:hAnsi="仿宋" w:cs="仿宋"/>
        </w:rPr>
      </w:pPr>
      <w:r>
        <w:rPr>
          <w:rFonts w:hint="eastAsia"/>
          <w:b/>
          <w:bCs/>
        </w:rPr>
        <w:t>构建绿色低碳建筑体系。</w:t>
      </w:r>
      <w:r>
        <w:rPr>
          <w:rFonts w:hint="eastAsia"/>
          <w:bCs/>
        </w:rPr>
        <w:t>城镇新建建筑全面实行绿色建筑标准，加快提升建筑节能标准，实现既有建筑节能改造有序推进，大力发展装配式建筑，促进可再生能源建筑规模逐步扩大，农村建筑节能实现新突破；大力推进建材绿色化，提高绿色建材在建筑中的使用比例；实行工程建设项目全生命周期内的绿色建造，以节约资源、保护环境为核心，通过智能建造与建筑工业化协同发展，建筑总体能耗强度持续下降，建筑能源消费结构逐步改善，建筑领域绿色发展水平明显提高。</w:t>
      </w:r>
    </w:p>
    <w:p>
      <w:pPr>
        <w:ind w:firstLine="562"/>
      </w:pPr>
      <w:r>
        <w:rPr>
          <w:rFonts w:hint="eastAsia"/>
          <w:b/>
          <w:bCs/>
        </w:rPr>
        <w:t>实施温室气体和污染物协同控制。</w:t>
      </w:r>
      <w:r>
        <w:rPr>
          <w:rFonts w:hint="eastAsia"/>
        </w:rPr>
        <w:t>实施污染物和温室气体协同控制，实现减污降碳协同效应。</w:t>
      </w:r>
      <w:r>
        <w:rPr>
          <w:rFonts w:hint="eastAsia" w:ascii="仿宋" w:hAnsi="仿宋" w:cs="仿宋"/>
        </w:rPr>
        <w:t>加强污水处理厂、垃圾填埋场等集中处置设施环境管理，协同控制甲烷、氧化亚氮等温室气体排放。加强节约能源与大气污染防治协同有效衔接，促进大气污染防治协同增效。</w:t>
      </w:r>
    </w:p>
    <w:p>
      <w:pPr>
        <w:ind w:firstLine="562"/>
        <w:rPr>
          <w:b/>
          <w:bCs/>
        </w:rPr>
      </w:pPr>
      <w:r>
        <w:rPr>
          <w:rFonts w:hint="eastAsia"/>
          <w:b/>
          <w:bCs/>
        </w:rPr>
        <w:t>控制非二氧化碳温室气体排放。</w:t>
      </w:r>
      <w:r>
        <w:rPr>
          <w:rFonts w:hint="eastAsia" w:ascii="仿宋" w:hAnsi="仿宋" w:cs="仿宋"/>
        </w:rPr>
        <w:t>以秸秆综合利用、化肥农药使用量零增长、畜禽粪污资源化利用为重点，加强标准化规模种植养殖，控制农田和畜禽养殖甲烷和氧化亚氮排放。加强废弃物资源化利用和低碳化处理，提高资源回收利用效率。</w:t>
      </w:r>
    </w:p>
    <w:p>
      <w:pPr>
        <w:ind w:firstLine="562"/>
        <w:rPr>
          <w:b/>
          <w:bCs/>
        </w:rPr>
      </w:pPr>
      <w:r>
        <w:rPr>
          <w:rFonts w:hint="eastAsia"/>
          <w:b/>
          <w:bCs/>
        </w:rPr>
        <w:t>推动低碳试点示范。</w:t>
      </w:r>
      <w:r>
        <w:rPr>
          <w:rFonts w:hint="eastAsia" w:ascii="仿宋" w:hAnsi="仿宋" w:cs="仿宋"/>
        </w:rPr>
        <w:t>积极开展低碳园区、低碳企业创建，鼓励发展二氧化碳捕集利用和封存等低碳技术，加快推动新疆广汇碳科技综合利用有限公司二氧化碳捕集与利用示范项目建设。</w:t>
      </w:r>
    </w:p>
    <w:p>
      <w:pPr>
        <w:ind w:firstLine="562"/>
        <w:rPr>
          <w:rFonts w:ascii="仿宋" w:hAnsi="仿宋" w:cs="仿宋"/>
        </w:rPr>
      </w:pPr>
      <w:r>
        <w:rPr>
          <w:rFonts w:hint="eastAsia"/>
          <w:b/>
          <w:bCs/>
        </w:rPr>
        <w:t>积极参与碳市场交易。</w:t>
      </w:r>
      <w:r>
        <w:rPr>
          <w:rFonts w:hint="eastAsia" w:ascii="仿宋" w:hAnsi="仿宋" w:cs="仿宋"/>
        </w:rPr>
        <w:t>积极参与碳排放权交易，落实国家、省、市碳排放权交易市场建设的统一部署。组织电力企业报告温室气体排放情况。组织其他重点行业企业积极参与全国碳市场交易运行各项工作。注重宣传引导，强化企业碳排放权有偿使用意识。</w:t>
      </w:r>
    </w:p>
    <w:p>
      <w:pPr>
        <w:widowControl/>
        <w:numPr>
          <w:ilvl w:val="0"/>
          <w:numId w:val="2"/>
        </w:numPr>
        <w:ind w:firstLine="0" w:firstLineChars="0"/>
        <w:jc w:val="center"/>
        <w:outlineLvl w:val="1"/>
        <w:rPr>
          <w:b/>
          <w:bCs/>
          <w:sz w:val="32"/>
          <w:szCs w:val="32"/>
        </w:rPr>
      </w:pPr>
      <w:bookmarkStart w:id="20" w:name="_Toc12257"/>
      <w:r>
        <w:rPr>
          <w:rFonts w:hint="eastAsia"/>
          <w:b/>
          <w:bCs/>
          <w:sz w:val="32"/>
          <w:szCs w:val="32"/>
        </w:rPr>
        <w:t>积极应对气候变化</w:t>
      </w:r>
      <w:bookmarkEnd w:id="20"/>
    </w:p>
    <w:p>
      <w:pPr>
        <w:ind w:firstLine="560"/>
      </w:pPr>
      <w:r>
        <w:rPr>
          <w:rFonts w:hint="eastAsia"/>
        </w:rPr>
        <w:t>积极开展适应气候变化行动，完善气候变化适应性评估机制，推进气候变化适应性评估应用。提升农业适应气候变化能力，确保粮食安全。强化供电、供热、供水、排水、燃气、通信等城市保障系统建设质量和管理水平，提高在极端自然灾害情况下的安全运行能力。建立健全气候防灾减灾体系，完善气候灾害应急预案和响应工作机制，加强气候灾害的监测评估和预测预警，增强经济社会发展的韧性和可持续性。</w:t>
      </w:r>
    </w:p>
    <w:p>
      <w:pPr>
        <w:widowControl/>
        <w:numPr>
          <w:ilvl w:val="0"/>
          <w:numId w:val="2"/>
        </w:numPr>
        <w:ind w:firstLine="0" w:firstLineChars="0"/>
        <w:jc w:val="center"/>
        <w:outlineLvl w:val="1"/>
        <w:rPr>
          <w:b/>
          <w:bCs/>
          <w:sz w:val="32"/>
          <w:szCs w:val="32"/>
        </w:rPr>
      </w:pPr>
      <w:bookmarkStart w:id="21" w:name="_Toc27210"/>
      <w:r>
        <w:rPr>
          <w:rFonts w:hint="eastAsia"/>
          <w:b/>
          <w:bCs/>
          <w:sz w:val="32"/>
          <w:szCs w:val="32"/>
        </w:rPr>
        <w:t>践行绿色低碳生活</w:t>
      </w:r>
      <w:bookmarkEnd w:id="21"/>
    </w:p>
    <w:p>
      <w:pPr>
        <w:ind w:firstLine="562"/>
      </w:pPr>
      <w:r>
        <w:rPr>
          <w:rFonts w:hint="eastAsia"/>
          <w:b/>
          <w:bCs/>
        </w:rPr>
        <w:t>增强全社会绿色生活理念。</w:t>
      </w:r>
      <w:r>
        <w:rPr>
          <w:rFonts w:hint="eastAsia"/>
        </w:rPr>
        <w:t>实施全民环境保护宣传教育行动计划，充分利用新媒体、新</w:t>
      </w:r>
      <w:r>
        <w:rPr>
          <w:rFonts w:hint="eastAsia"/>
          <w:lang w:val="en-US" w:eastAsia="zh-CN"/>
        </w:rPr>
        <w:t>资讯</w:t>
      </w:r>
      <w:r>
        <w:rPr>
          <w:rFonts w:hint="eastAsia"/>
        </w:rPr>
        <w:t>，逐步增强人们的节约意识与责任意识，使绿色理念成为社会的主流价值观，绿色生活方式成为百姓的自觉行为，普遍形成简约适度、绿色低碳、文明健康的生活理念和生活方式。加强生态文化建设，鼓励创作生态文化产品，强化资源环境形势宣传，提高全社会生态环境保护意识。</w:t>
      </w:r>
    </w:p>
    <w:p>
      <w:pPr>
        <w:ind w:firstLine="562"/>
      </w:pPr>
      <w:r>
        <w:rPr>
          <w:rFonts w:hint="eastAsia"/>
          <w:b/>
          <w:bCs/>
        </w:rPr>
        <w:t>倡导绿色生活方式。</w:t>
      </w:r>
      <w:r>
        <w:rPr>
          <w:rFonts w:hint="eastAsia"/>
        </w:rPr>
        <w:t>加强绿色消费行为引导，推广节能、可再生能源等新技术和节能低碳节水产品应用，反对过度包装。发挥政府机构在节能、节水、节纸、节粮等方面的带头作用，扩大绿色产品消费。提倡低碳餐饮，鼓励食用绿色无公害食品，积极推行“光盘行动”。倡导低碳居住，鼓励使用节电型电器和照明产品。</w:t>
      </w:r>
    </w:p>
    <w:p>
      <w:pPr>
        <w:ind w:firstLine="562"/>
        <w:rPr>
          <w:b/>
          <w:bCs/>
        </w:rPr>
      </w:pPr>
    </w:p>
    <w:p>
      <w:pPr>
        <w:pStyle w:val="18"/>
        <w:ind w:left="0" w:leftChars="0" w:firstLine="0" w:firstLineChars="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22" w:name="_Toc20743"/>
      <w:r>
        <w:rPr>
          <w:rFonts w:hint="eastAsia"/>
          <w:sz w:val="32"/>
          <w:szCs w:val="32"/>
        </w:rPr>
        <w:t>第五章 持续改善空气环境质量</w:t>
      </w:r>
      <w:bookmarkEnd w:id="22"/>
    </w:p>
    <w:p>
      <w:pPr>
        <w:widowControl/>
        <w:ind w:firstLine="0" w:firstLineChars="0"/>
        <w:jc w:val="center"/>
        <w:outlineLvl w:val="1"/>
        <w:rPr>
          <w:b/>
          <w:bCs/>
          <w:sz w:val="32"/>
          <w:szCs w:val="32"/>
        </w:rPr>
      </w:pPr>
      <w:bookmarkStart w:id="23" w:name="_Toc19094"/>
      <w:r>
        <w:rPr>
          <w:rFonts w:hint="eastAsia"/>
          <w:b/>
          <w:bCs/>
          <w:sz w:val="32"/>
          <w:szCs w:val="32"/>
        </w:rPr>
        <w:t>第一节 强化重污染天气应对</w:t>
      </w:r>
      <w:bookmarkEnd w:id="23"/>
    </w:p>
    <w:p>
      <w:pPr>
        <w:widowControl/>
        <w:ind w:firstLine="560"/>
        <w:jc w:val="left"/>
      </w:pPr>
      <w:r>
        <w:rPr>
          <w:rFonts w:hint="eastAsia"/>
        </w:rPr>
        <w:t>强化重污染天气监测预报预警能力，逐步实施重污染天气重点行业绩效分级和应急减排，推进重点行业绩效分级管理规范化、标准化，完善差异化管控措施。夯实应急减排措施，加强应急运输响应，完善应急减排信息公开和公众监督渠道。</w:t>
      </w:r>
    </w:p>
    <w:p>
      <w:pPr>
        <w:widowControl/>
        <w:numPr>
          <w:ilvl w:val="0"/>
          <w:numId w:val="3"/>
        </w:numPr>
        <w:ind w:firstLine="0" w:firstLineChars="0"/>
        <w:jc w:val="center"/>
        <w:outlineLvl w:val="1"/>
        <w:rPr>
          <w:b/>
          <w:bCs/>
          <w:sz w:val="32"/>
          <w:szCs w:val="32"/>
        </w:rPr>
      </w:pPr>
      <w:bookmarkStart w:id="24" w:name="_Toc17794"/>
      <w:r>
        <w:rPr>
          <w:rFonts w:hint="eastAsia"/>
          <w:b/>
          <w:bCs/>
          <w:sz w:val="32"/>
          <w:szCs w:val="32"/>
        </w:rPr>
        <w:t>持续推进污染源深度治理</w:t>
      </w:r>
      <w:bookmarkEnd w:id="24"/>
    </w:p>
    <w:p>
      <w:pPr>
        <w:widowControl/>
        <w:ind w:firstLine="562"/>
        <w:jc w:val="left"/>
      </w:pPr>
      <w:r>
        <w:rPr>
          <w:rFonts w:hint="eastAsia"/>
          <w:b/>
          <w:bCs/>
        </w:rPr>
        <w:t>实施重点行业NOx等污染物深度治理。</w:t>
      </w:r>
      <w:r>
        <w:rPr>
          <w:rFonts w:hint="eastAsia"/>
        </w:rPr>
        <w:t>持续推进焦化、煤化工等行业和燃煤工业锅炉超低排放改造，推动焦化、煤化工等行业采取清洁生产、提标改造、深度治理等综合措施。加强火电及自备燃煤机组污染治理设施运行管控，确保超低排放稳定运行。针对铸造、焦化、金属冶炼以及煤化工、石油化工等行业，严格控制物料储存、输送及生产工艺过程无组织排放，实现工业大气污染物总量减排。逐步取消重点涉气排放企业烟气旁路，因安全生产无法取消的，安装旁路在线监控系统。</w:t>
      </w:r>
    </w:p>
    <w:p>
      <w:pPr>
        <w:widowControl/>
        <w:ind w:firstLine="562"/>
      </w:pPr>
      <w:r>
        <w:rPr>
          <w:rFonts w:hint="eastAsia"/>
          <w:b/>
          <w:bCs/>
        </w:rPr>
        <w:t>协同开展PM</w:t>
      </w:r>
      <w:r>
        <w:rPr>
          <w:rFonts w:hint="eastAsia"/>
          <w:b/>
          <w:bCs/>
          <w:vertAlign w:val="subscript"/>
        </w:rPr>
        <w:t>2.5</w:t>
      </w:r>
      <w:r>
        <w:rPr>
          <w:rFonts w:hint="eastAsia"/>
          <w:b/>
          <w:bCs/>
        </w:rPr>
        <w:t>和O</w:t>
      </w:r>
      <w:r>
        <w:rPr>
          <w:rFonts w:hint="eastAsia"/>
          <w:b/>
          <w:bCs/>
          <w:vertAlign w:val="subscript"/>
        </w:rPr>
        <w:t>3</w:t>
      </w:r>
      <w:r>
        <w:rPr>
          <w:rFonts w:hint="eastAsia"/>
          <w:b/>
          <w:bCs/>
        </w:rPr>
        <w:t>污染防治。</w:t>
      </w:r>
      <w:r>
        <w:rPr>
          <w:rFonts w:hint="eastAsia"/>
        </w:rPr>
        <w:t>以多污染物协同减排和精细化管理为重点，持续深化常规污染源治理，着力推进工业烟（粉）尘、二氧化硫、氮氧化物、挥发性有机物和氨、烟气中汞等多污染物协同控制。推动城市PM</w:t>
      </w:r>
      <w:r>
        <w:rPr>
          <w:rFonts w:hint="eastAsia"/>
          <w:vertAlign w:val="subscript"/>
        </w:rPr>
        <w:t>2.5</w:t>
      </w:r>
      <w:r>
        <w:rPr>
          <w:rFonts w:hint="eastAsia"/>
        </w:rPr>
        <w:t>浓度持续下降，有效遏制O</w:t>
      </w:r>
      <w:r>
        <w:rPr>
          <w:rFonts w:hint="eastAsia"/>
          <w:vertAlign w:val="subscript"/>
        </w:rPr>
        <w:t>3</w:t>
      </w:r>
      <w:r>
        <w:rPr>
          <w:rFonts w:hint="eastAsia"/>
        </w:rPr>
        <w:t>浓度增长趋势。</w:t>
      </w:r>
    </w:p>
    <w:p>
      <w:pPr>
        <w:widowControl/>
        <w:ind w:firstLine="562"/>
      </w:pPr>
      <w:r>
        <w:rPr>
          <w:rFonts w:hint="eastAsia"/>
          <w:b/>
          <w:bCs/>
        </w:rPr>
        <w:t>加强VOCs全过程综合管控。</w:t>
      </w:r>
      <w:r>
        <w:rPr>
          <w:rFonts w:hint="eastAsia"/>
        </w:rPr>
        <w:t>严格落实VOCs排放总量控制，重点推进石油、煤化工、包装印刷、工业涂装、油品储运销等重点行业排放源以及机动车等移动源VOCs污染防治，加强重点行业、重点企业精细化管控。开展原油、成品油、有机化学品等涉VOCs物质储罐排查。全面推进使用低VOCs含量涂料、油墨、胶黏剂、清洗剂等，加强汽修行业VOCs综合治理，加大餐饮油烟污染治理力度，持续削减VOCs排放量。</w:t>
      </w:r>
    </w:p>
    <w:p>
      <w:pPr>
        <w:widowControl/>
        <w:ind w:firstLine="562"/>
      </w:pPr>
      <w:r>
        <w:rPr>
          <w:rFonts w:hint="eastAsia"/>
          <w:b/>
          <w:bCs/>
          <w:color w:val="000000"/>
        </w:rPr>
        <w:t>持续开展油品治理及机动车管控。</w:t>
      </w:r>
      <w:r>
        <w:rPr>
          <w:rFonts w:hint="eastAsia"/>
          <w:color w:val="000000"/>
        </w:rPr>
        <w:t>加强油品质量监管，采取定期检查和现场抽查的方式，对辖区内经营性油品、储油库油品质量进行监督检测，</w:t>
      </w:r>
      <w:r>
        <w:rPr>
          <w:rFonts w:hint="eastAsia"/>
        </w:rPr>
        <w:t>严厉打击非法生产、销售不合格油品行为，对于限期不达标的成品油加油站，依法整治或关停。加强车辆环保管理，推进油品配套升级，着力解决柴油货车排放严重超标和油品质量不达标等问题。开展老旧柴油货车后处理改造升级工作，安装尾气颗粒物捕捉器（DPF）和催化还原装置（SCR），加快柴油车车用尿素供应体系建设。对于无法治理改造的高排放车辆，应依法予以淘汰。</w:t>
      </w:r>
    </w:p>
    <w:p>
      <w:pPr>
        <w:widowControl/>
        <w:ind w:firstLine="562"/>
      </w:pPr>
      <w:r>
        <w:rPr>
          <w:rFonts w:hint="eastAsia"/>
          <w:b/>
          <w:bCs/>
        </w:rPr>
        <w:t>强化扬尘污染整治。</w:t>
      </w:r>
      <w:r>
        <w:rPr>
          <w:rFonts w:hint="eastAsia"/>
        </w:rPr>
        <w:t>全面推行绿色施工，城市建成区建筑工地扬尘防控标准化管理全覆盖。推进道路、水利等线性工程扬尘治理，强化监督监管，实行全方位管控。加强源头管控，严格执行“六个100%”（工地周边100%围挡、工地道路100%硬化、土方和拆迁施工100%湿法作业、渣土车辆100%密闭运输、工地出入车辆100%冲洗、工地物料堆放100%覆盖），将施工现场扬尘治理措施落实情况作为工程开工的</w:t>
      </w:r>
      <w:bookmarkStart w:id="63" w:name="_GoBack"/>
      <w:bookmarkEnd w:id="63"/>
      <w:r>
        <w:rPr>
          <w:rFonts w:hint="eastAsia"/>
        </w:rPr>
        <w:t>前置条件，确保扬尘治理措施落实落细。推进机械化低尘湿式清扫作业，加大扬尘集聚路段冲洗保洁力度，渣土车实施硬覆盖与全封闭运输，加强绿化用地扬尘治理。加快推进城市裸露地面、工业粉粒类物料堆场、露天矿山综合整治，强化农业生产、农村道路扬尘控制。</w:t>
      </w:r>
    </w:p>
    <w:p>
      <w:pPr>
        <w:widowControl/>
        <w:numPr>
          <w:ilvl w:val="0"/>
          <w:numId w:val="3"/>
        </w:numPr>
        <w:ind w:firstLine="0" w:firstLineChars="0"/>
        <w:jc w:val="center"/>
        <w:outlineLvl w:val="1"/>
        <w:rPr>
          <w:b/>
          <w:bCs/>
          <w:sz w:val="32"/>
          <w:szCs w:val="32"/>
        </w:rPr>
      </w:pPr>
      <w:bookmarkStart w:id="25" w:name="_Toc2849"/>
      <w:r>
        <w:rPr>
          <w:rFonts w:hint="eastAsia"/>
          <w:b/>
          <w:bCs/>
          <w:sz w:val="32"/>
          <w:szCs w:val="32"/>
        </w:rPr>
        <w:t>加强其他污染治理</w:t>
      </w:r>
      <w:bookmarkEnd w:id="25"/>
    </w:p>
    <w:p>
      <w:pPr>
        <w:widowControl/>
        <w:ind w:firstLine="562"/>
      </w:pPr>
      <w:r>
        <w:rPr>
          <w:rFonts w:hint="eastAsia"/>
          <w:b/>
          <w:bCs/>
        </w:rPr>
        <w:t>加大其他涉气污染物治理力度。</w:t>
      </w:r>
      <w:r>
        <w:rPr>
          <w:rFonts w:hint="eastAsia"/>
        </w:rPr>
        <w:t>改造现有烟气污染物控制装备，推进工业烟气中三氧化硫、汞、铅、砷、镉等多种非常规污染物强效脱除技术研发和治理应用。有效控制烟气脱硝和氨法脱硫过程中的氨逃逸。</w:t>
      </w:r>
    </w:p>
    <w:p>
      <w:pPr>
        <w:widowControl/>
        <w:ind w:firstLine="562"/>
      </w:pPr>
      <w:r>
        <w:rPr>
          <w:rFonts w:hint="eastAsia"/>
          <w:b/>
          <w:bCs/>
        </w:rPr>
        <w:t>加强恶臭、有毒有害大气污染物防控。</w:t>
      </w:r>
      <w:r>
        <w:rPr>
          <w:rFonts w:hint="eastAsia"/>
        </w:rPr>
        <w:t>加强工业恶臭异味治理，开展无异味企业建设，加强垃圾处理、污水处理各环节和畜禽养殖场恶臭异味控制，提升恶臭治理水平。</w:t>
      </w:r>
    </w:p>
    <w:p>
      <w:pPr>
        <w:widowControl/>
        <w:ind w:firstLine="562"/>
      </w:pPr>
      <w:r>
        <w:rPr>
          <w:rFonts w:hint="eastAsia"/>
          <w:b/>
          <w:bCs/>
        </w:rPr>
        <w:t>加强环境噪声污染防控。</w:t>
      </w:r>
      <w:r>
        <w:rPr>
          <w:rFonts w:hint="eastAsia"/>
        </w:rPr>
        <w:t>加强噪声污染源监管，继续强化和深入推进交通运输噪声、建筑施工噪声、社会生活噪声、工业企业</w:t>
      </w:r>
      <w:r>
        <w:rPr>
          <w:rFonts w:hint="eastAsia"/>
          <w:lang w:val="en-US" w:eastAsia="zh-CN"/>
        </w:rPr>
        <w:t>噪声</w:t>
      </w:r>
      <w:r>
        <w:rPr>
          <w:rFonts w:hint="eastAsia"/>
        </w:rPr>
        <w:t>污染防治。严格夜间施工审批并向社会公开，强化夜间施工管理。强化噪声信访处置，畅通噪声污染投诉渠道，完善生态环境与相关部门的噪声污染投诉信息共享处理机制。</w:t>
      </w:r>
    </w:p>
    <w:p>
      <w:pPr>
        <w:widowControl/>
        <w:ind w:firstLine="562"/>
        <w:rPr>
          <w:b/>
          <w:bCs/>
        </w:rPr>
      </w:pPr>
    </w:p>
    <w:p>
      <w:pPr>
        <w:ind w:firstLine="560"/>
      </w:pPr>
    </w:p>
    <w:p>
      <w:pPr>
        <w:pStyle w:val="12"/>
        <w:ind w:left="560" w:firstLine="56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26" w:name="_Toc3979"/>
      <w:r>
        <w:rPr>
          <w:rFonts w:hint="eastAsia"/>
          <w:sz w:val="32"/>
          <w:szCs w:val="32"/>
        </w:rPr>
        <w:t>第六章 稳步提升水生态环境</w:t>
      </w:r>
      <w:bookmarkEnd w:id="26"/>
    </w:p>
    <w:p>
      <w:pPr>
        <w:widowControl/>
        <w:ind w:firstLine="0" w:firstLineChars="0"/>
        <w:jc w:val="center"/>
        <w:outlineLvl w:val="1"/>
        <w:rPr>
          <w:b/>
          <w:bCs/>
          <w:sz w:val="32"/>
          <w:szCs w:val="32"/>
        </w:rPr>
      </w:pPr>
      <w:bookmarkStart w:id="27" w:name="_Toc22829"/>
      <w:r>
        <w:rPr>
          <w:rFonts w:hint="eastAsia"/>
          <w:b/>
          <w:bCs/>
          <w:sz w:val="32"/>
          <w:szCs w:val="32"/>
        </w:rPr>
        <w:t>第一节 强化水生态环境系统治理</w:t>
      </w:r>
      <w:bookmarkEnd w:id="27"/>
    </w:p>
    <w:p>
      <w:pPr>
        <w:widowControl/>
        <w:ind w:firstLine="562"/>
      </w:pPr>
      <w:r>
        <w:rPr>
          <w:rFonts w:hint="eastAsia"/>
          <w:b/>
          <w:bCs/>
        </w:rPr>
        <w:t>推进“三水统筹”管理。</w:t>
      </w:r>
      <w:r>
        <w:rPr>
          <w:rFonts w:hint="eastAsia"/>
        </w:rPr>
        <w:t>强化水资源刚性约束，坚持以水定城、以水定地、以水定人、以水定产，严格执行最严格水资源管理制度。积极开展地下水超采区综合治理，加强地下水保护，严格控制超采、滥采地下水，逐步实现地下水采补平衡，推动水资源集约节约利用。严格河湖生态流量管理，增加生态用水保障，促进水生态恢复。大力发展节水农业、节水工业、节水服务业，加强工业行业节水技术改造力度，推进农业高效节水转型升级，逐步实现由高效节水向高效用水转变。全面落实河（湖）长制，严格执行污染物排放总量控制，整体推进水功能区水质稳中向好。</w:t>
      </w:r>
    </w:p>
    <w:p>
      <w:pPr>
        <w:widowControl/>
        <w:ind w:firstLine="562"/>
      </w:pPr>
      <w:r>
        <w:rPr>
          <w:rFonts w:hint="eastAsia"/>
          <w:b/>
          <w:bCs/>
        </w:rPr>
        <w:t>推进地表水与地下水协同防治。</w:t>
      </w:r>
      <w:r>
        <w:rPr>
          <w:rFonts w:hint="eastAsia"/>
        </w:rPr>
        <w:t>统筹区域地表水、地下水生态环境监管。加强工业园区、矿山开采区等污染源的地表水、地下水污染协同防治和环境风险管控。</w:t>
      </w:r>
    </w:p>
    <w:p>
      <w:pPr>
        <w:widowControl/>
        <w:numPr>
          <w:ilvl w:val="0"/>
          <w:numId w:val="4"/>
        </w:numPr>
        <w:ind w:firstLine="0" w:firstLineChars="0"/>
        <w:jc w:val="center"/>
        <w:outlineLvl w:val="1"/>
        <w:rPr>
          <w:b/>
          <w:bCs/>
          <w:sz w:val="32"/>
          <w:szCs w:val="32"/>
        </w:rPr>
      </w:pPr>
      <w:bookmarkStart w:id="28" w:name="_Toc13211"/>
      <w:r>
        <w:rPr>
          <w:rFonts w:hint="eastAsia"/>
          <w:b/>
          <w:bCs/>
          <w:sz w:val="32"/>
          <w:szCs w:val="32"/>
        </w:rPr>
        <w:t>持续深化水污染治理</w:t>
      </w:r>
      <w:bookmarkEnd w:id="28"/>
    </w:p>
    <w:p>
      <w:pPr>
        <w:widowControl/>
        <w:ind w:firstLine="562"/>
      </w:pPr>
      <w:r>
        <w:rPr>
          <w:rFonts w:hint="eastAsia"/>
          <w:b/>
          <w:bCs/>
        </w:rPr>
        <w:t>加强工业污染防治。</w:t>
      </w:r>
      <w:r>
        <w:rPr>
          <w:rFonts w:hint="eastAsia"/>
        </w:rPr>
        <w:t>推动重点行业、重点企业绿色发展，严格落实水污染物排放标准和排污许可制度。加强煤化工、农副食品加工等企业水污染综合治理和清洁化改造。持续开展涉“散乱污”企业排查整治，促进产业结构转型升级。</w:t>
      </w:r>
    </w:p>
    <w:p>
      <w:pPr>
        <w:widowControl/>
        <w:ind w:firstLine="562"/>
      </w:pPr>
      <w:r>
        <w:rPr>
          <w:rFonts w:hint="eastAsia"/>
          <w:b/>
          <w:bCs/>
        </w:rPr>
        <w:t>加强城镇基础设施系统化建设。</w:t>
      </w:r>
      <w:r>
        <w:rPr>
          <w:rFonts w:hint="eastAsia"/>
        </w:rPr>
        <w:t>加快城镇污水处理及再生利用设施提质增效，推进生活污水收集处理设施和污泥处置设施提标改造，逐步实现城镇生活污水管网全覆盖，补齐生活污水收集处理设施短板。定期检查排水管网，及时发现并修补漏损管道，实施管网改造，更新老化管网，新建城区的污水处理设施和污水管网，要与城市发展同步规划、同步建设。加快推进城镇污水处理厂污泥无害化处理和资源化利用。</w:t>
      </w:r>
    </w:p>
    <w:p>
      <w:pPr>
        <w:widowControl/>
        <w:numPr>
          <w:ilvl w:val="0"/>
          <w:numId w:val="4"/>
        </w:numPr>
        <w:ind w:firstLine="0" w:firstLineChars="0"/>
        <w:jc w:val="center"/>
        <w:outlineLvl w:val="1"/>
        <w:rPr>
          <w:b/>
          <w:bCs/>
          <w:sz w:val="32"/>
          <w:szCs w:val="32"/>
        </w:rPr>
      </w:pPr>
      <w:bookmarkStart w:id="29" w:name="_Toc2689"/>
      <w:r>
        <w:rPr>
          <w:rFonts w:hint="eastAsia"/>
          <w:b/>
          <w:bCs/>
          <w:sz w:val="32"/>
          <w:szCs w:val="32"/>
        </w:rPr>
        <w:t>积极推动水生态恢复</w:t>
      </w:r>
      <w:bookmarkEnd w:id="29"/>
    </w:p>
    <w:p>
      <w:pPr>
        <w:widowControl/>
        <w:ind w:firstLine="562"/>
      </w:pPr>
      <w:r>
        <w:rPr>
          <w:rFonts w:hint="eastAsia"/>
          <w:b/>
          <w:bCs/>
        </w:rPr>
        <w:t>保障生态用水。</w:t>
      </w:r>
      <w:r>
        <w:rPr>
          <w:rFonts w:hint="eastAsia"/>
        </w:rPr>
        <w:t>实施节水行动，优先保障生活用水，合理安排生产用水，适度增加生态用水。严格控制取用水总量，从严加强规划和建设项目水资源论证及取水许可的监督管理；从严管控地下水开发利用，实施退地还水，加强地下水超采区治理。</w:t>
      </w:r>
    </w:p>
    <w:p>
      <w:pPr>
        <w:widowControl/>
        <w:ind w:firstLine="562"/>
      </w:pPr>
      <w:r>
        <w:rPr>
          <w:rFonts w:hint="eastAsia"/>
          <w:b/>
          <w:bCs/>
        </w:rPr>
        <w:t>促进再生水循环利用。</w:t>
      </w:r>
      <w:r>
        <w:rPr>
          <w:rFonts w:hint="eastAsia"/>
        </w:rPr>
        <w:t>加快再生水回用设施建设，充分利用中水、矿井疏干水等再生水资源，提高矿井水收集率达到100%，以工业用水重复利用、热力和工艺系统节水、工业给水和废水处理等领域为重点，支持企业积极实施节水技术改造，实现园区内的水资源循环利用。鼓励在排污口下游，因地制宜建设人工湿地等水质净化生态设施，处理达标的尾水进一步净化后，作为区域内生态和生产补充用水。</w:t>
      </w:r>
    </w:p>
    <w:p>
      <w:pPr>
        <w:widowControl/>
        <w:ind w:firstLine="562"/>
        <w:rPr>
          <w:b/>
          <w:bCs/>
        </w:rPr>
      </w:pPr>
      <w:r>
        <w:rPr>
          <w:rFonts w:hint="eastAsia"/>
          <w:b/>
          <w:bCs/>
        </w:rPr>
        <w:t>加强水生态保护修复。</w:t>
      </w:r>
      <w:r>
        <w:rPr>
          <w:rFonts w:hint="eastAsia"/>
        </w:rPr>
        <w:t>抓好伊吾河、盐池幻彩湖（托勒库勒湖）管理和保护。加强涉水生态空间管控和保护，严格河湖管理范围内的建设项目和有关活动。</w:t>
      </w:r>
    </w:p>
    <w:p>
      <w:pPr>
        <w:widowControl/>
        <w:numPr>
          <w:ilvl w:val="0"/>
          <w:numId w:val="4"/>
        </w:numPr>
        <w:ind w:firstLine="0" w:firstLineChars="0"/>
        <w:jc w:val="center"/>
        <w:outlineLvl w:val="1"/>
        <w:rPr>
          <w:b/>
          <w:bCs/>
          <w:sz w:val="32"/>
          <w:szCs w:val="32"/>
        </w:rPr>
      </w:pPr>
      <w:bookmarkStart w:id="30" w:name="_Toc28336"/>
      <w:r>
        <w:rPr>
          <w:rFonts w:hint="eastAsia"/>
          <w:b/>
          <w:bCs/>
          <w:sz w:val="32"/>
          <w:szCs w:val="32"/>
        </w:rPr>
        <w:t>防范水环境风险</w:t>
      </w:r>
      <w:bookmarkEnd w:id="30"/>
    </w:p>
    <w:p>
      <w:pPr>
        <w:ind w:firstLine="562"/>
      </w:pPr>
      <w:r>
        <w:rPr>
          <w:rFonts w:hint="eastAsia"/>
          <w:b/>
          <w:bCs/>
        </w:rPr>
        <w:t>提升饮用水安全保障水平。</w:t>
      </w:r>
      <w:r>
        <w:t>加强水利基础设施建设，进一步提高水资源保障能力。持续开展集中式饮用水源地环境问题整治</w:t>
      </w:r>
      <w:r>
        <w:rPr>
          <w:rFonts w:hint="eastAsia"/>
        </w:rPr>
        <w:t>“</w:t>
      </w:r>
      <w:r>
        <w:t>回头看</w:t>
      </w:r>
      <w:r>
        <w:rPr>
          <w:rFonts w:hint="eastAsia"/>
        </w:rPr>
        <w:t>”</w:t>
      </w:r>
      <w:r>
        <w:t>工作</w:t>
      </w:r>
      <w:r>
        <w:rPr>
          <w:rFonts w:hint="eastAsia"/>
        </w:rPr>
        <w:t>，实施“动态清零”，巩固水源地“划、立、治”成果。加大饮用水水源、供水单位和用户水龙头出水等饮用水安全状况信息公开力度。进一步提升饮用水水源地信息化管理水平，建立长效监管机制。加强县级及以上地表水型饮用水水源地预警监控能力建设，制定并及时更新应急预案，完善重大突发环境事件的物资和技术储备，定期开展应急演练。</w:t>
      </w:r>
      <w:r>
        <w:t>开展</w:t>
      </w:r>
      <w:r>
        <w:rPr>
          <w:rFonts w:hint="eastAsia"/>
        </w:rPr>
        <w:t>“</w:t>
      </w:r>
      <w:r>
        <w:t>千吨万人</w:t>
      </w:r>
      <w:r>
        <w:rPr>
          <w:rFonts w:hint="eastAsia"/>
        </w:rPr>
        <w:t>”</w:t>
      </w:r>
      <w:r>
        <w:t>农村饮用水水源保护区环境风险排查整治。加强农村水源水质监测，依法清理饮用水水源保护区内违法建筑和排污口，实施从水源到水龙头全过程监管</w:t>
      </w:r>
      <w:r>
        <w:rPr>
          <w:rFonts w:hint="eastAsia"/>
        </w:rPr>
        <w:t>。</w:t>
      </w:r>
    </w:p>
    <w:p>
      <w:pPr>
        <w:widowControl/>
        <w:ind w:firstLine="562"/>
      </w:pPr>
      <w:r>
        <w:rPr>
          <w:rFonts w:hint="eastAsia"/>
          <w:b/>
          <w:bCs/>
        </w:rPr>
        <w:t>加强河湖流域环境风险管控。</w:t>
      </w:r>
      <w:r>
        <w:rPr>
          <w:rFonts w:hint="eastAsia"/>
        </w:rPr>
        <w:t>加强流域突发水污染事件应急能力建设，持续开展应急综合演练，提升应急响应水平，加强监测预警、拦污控污、信息通报、协同处置、基础保障等工作，防范重大生态环境风险。</w:t>
      </w:r>
    </w:p>
    <w:p>
      <w:pPr>
        <w:ind w:firstLine="560"/>
      </w:pPr>
      <w:r>
        <w:rPr>
          <w:rFonts w:hint="eastAsia"/>
        </w:rPr>
        <w:br w:type="page"/>
      </w:r>
    </w:p>
    <w:p>
      <w:pPr>
        <w:pStyle w:val="3"/>
        <w:ind w:firstLine="0" w:firstLineChars="0"/>
        <w:jc w:val="center"/>
        <w:rPr>
          <w:sz w:val="32"/>
          <w:szCs w:val="32"/>
        </w:rPr>
      </w:pPr>
      <w:bookmarkStart w:id="31" w:name="_Toc30003"/>
      <w:r>
        <w:rPr>
          <w:rFonts w:hint="eastAsia"/>
          <w:sz w:val="32"/>
          <w:szCs w:val="32"/>
        </w:rPr>
        <w:t>第七章 保障土壤及地下水环境安全</w:t>
      </w:r>
      <w:bookmarkEnd w:id="31"/>
    </w:p>
    <w:p>
      <w:pPr>
        <w:widowControl/>
        <w:ind w:firstLine="0" w:firstLineChars="0"/>
        <w:jc w:val="center"/>
        <w:outlineLvl w:val="1"/>
        <w:rPr>
          <w:b/>
          <w:bCs/>
          <w:sz w:val="32"/>
          <w:szCs w:val="32"/>
        </w:rPr>
      </w:pPr>
      <w:bookmarkStart w:id="32" w:name="_Toc16230"/>
      <w:r>
        <w:rPr>
          <w:rFonts w:hint="eastAsia"/>
          <w:b/>
          <w:bCs/>
          <w:sz w:val="32"/>
          <w:szCs w:val="32"/>
        </w:rPr>
        <w:t>第一节 加强土壤和地下水污染源系统防控</w:t>
      </w:r>
      <w:bookmarkEnd w:id="32"/>
    </w:p>
    <w:p>
      <w:pPr>
        <w:widowControl/>
        <w:ind w:firstLine="562"/>
      </w:pPr>
      <w:r>
        <w:rPr>
          <w:rFonts w:hint="eastAsia"/>
          <w:b/>
          <w:bCs/>
        </w:rPr>
        <w:t>加强国土空间布局管控。</w:t>
      </w:r>
      <w:r>
        <w:rPr>
          <w:rFonts w:hint="eastAsia"/>
        </w:rPr>
        <w:t>永久基本农田集中区域禁止规划新建可能造成土壤污染的建设项目。涉及有毒有害物质可能造成土壤污染的新（改、扩）建项目，应提出并落实土壤和地下水污染防治要求。以饮用水水源保护为核心，加强地下水型饮用水水源补给区保护。</w:t>
      </w:r>
    </w:p>
    <w:p>
      <w:pPr>
        <w:widowControl/>
        <w:ind w:firstLine="562"/>
      </w:pPr>
      <w:r>
        <w:rPr>
          <w:rFonts w:hint="eastAsia"/>
          <w:b/>
          <w:bCs/>
        </w:rPr>
        <w:t>防范工矿企业土壤污染。</w:t>
      </w:r>
      <w:r>
        <w:rPr>
          <w:rFonts w:hint="eastAsia"/>
        </w:rPr>
        <w:t>结合重点行业企业用地土壤污染状况调查成果，完善土壤污染重点监管单位名录，探索建立地下水重点污染源清单。鼓励土壤污染重点监管单位实施防渗漏等提标改造。定期对土壤污染重点监管单位和地下水重点污染源周边土壤、地下水开展监督性监测。督促土壤污染重点监管单位定期开展土壤及地下水环境自行监测和污染隐患排查及整改，到2025年，所有重点监管单位至少完成一轮排查整改。严控土壤重金属污染，加强油（气）田开发土壤污染防治。</w:t>
      </w:r>
    </w:p>
    <w:p>
      <w:pPr>
        <w:widowControl/>
        <w:ind w:firstLine="562"/>
      </w:pPr>
      <w:r>
        <w:rPr>
          <w:rFonts w:hint="eastAsia"/>
          <w:b/>
          <w:bCs/>
        </w:rPr>
        <w:t>强化重点区域地下水环境风险管控。</w:t>
      </w:r>
      <w:r>
        <w:rPr>
          <w:rFonts w:hint="eastAsia"/>
        </w:rPr>
        <w:t>对化学品生产企业、工业园区、尾矿库、矿山开采区、危险废物处置场、垃圾填埋场等地下水污染源及周边区域，逐步开展地下水环境状况调查评估，加强风险管控。探索建立报废矿井、钻井清单，持续推进封井回填工作。</w:t>
      </w:r>
    </w:p>
    <w:p>
      <w:pPr>
        <w:widowControl/>
        <w:numPr>
          <w:ilvl w:val="0"/>
          <w:numId w:val="5"/>
        </w:numPr>
        <w:ind w:firstLine="0" w:firstLineChars="0"/>
        <w:jc w:val="center"/>
        <w:outlineLvl w:val="1"/>
        <w:rPr>
          <w:b/>
          <w:bCs/>
          <w:sz w:val="32"/>
          <w:szCs w:val="32"/>
        </w:rPr>
      </w:pPr>
      <w:bookmarkStart w:id="33" w:name="_Toc8902"/>
      <w:r>
        <w:rPr>
          <w:rFonts w:hint="eastAsia"/>
          <w:b/>
          <w:bCs/>
          <w:sz w:val="32"/>
          <w:szCs w:val="32"/>
        </w:rPr>
        <w:t>推进土壤安全利用</w:t>
      </w:r>
      <w:bookmarkEnd w:id="33"/>
    </w:p>
    <w:p>
      <w:pPr>
        <w:widowControl/>
        <w:ind w:firstLine="562"/>
      </w:pPr>
      <w:r>
        <w:rPr>
          <w:rFonts w:hint="eastAsia"/>
          <w:b/>
          <w:bCs/>
        </w:rPr>
        <w:t>持续推进农用地分类管理和安全利用。</w:t>
      </w:r>
      <w:r>
        <w:rPr>
          <w:rFonts w:hint="eastAsia"/>
        </w:rPr>
        <w:t>严格保护优先保护类农用地，确保其面积不减少、土壤环境质量不下降。加强耕地污染源源头控制，推进耕地周边涉镉等重金属行业企业排查整治。</w:t>
      </w:r>
    </w:p>
    <w:p>
      <w:pPr>
        <w:widowControl/>
        <w:ind w:firstLine="562"/>
      </w:pPr>
      <w:r>
        <w:rPr>
          <w:rFonts w:hint="eastAsia"/>
          <w:b/>
          <w:bCs/>
        </w:rPr>
        <w:t>有序实施建设用地风险管控和治理修复。</w:t>
      </w:r>
      <w:r>
        <w:rPr>
          <w:rFonts w:hint="eastAsia"/>
        </w:rPr>
        <w:t>推动重点行业企业用地土壤污染状况调查成果应用，提升土壤环境监管能力。严格落实建设用地土壤污染风险管控和修复名录制度。以用途变更为住宅、公共管理与公共服务用地的地块为重点，严格建设用地准入管理和风险管控。</w:t>
      </w:r>
    </w:p>
    <w:p>
      <w:pPr>
        <w:ind w:firstLine="560"/>
      </w:pPr>
    </w:p>
    <w:p>
      <w:pPr>
        <w:pStyle w:val="11"/>
        <w:ind w:firstLine="280"/>
        <w:sectPr>
          <w:pgSz w:w="11906" w:h="16838"/>
          <w:pgMar w:top="1440" w:right="1800" w:bottom="1440" w:left="1800" w:header="851" w:footer="992" w:gutter="0"/>
          <w:cols w:space="425" w:num="1"/>
          <w:docGrid w:type="lines" w:linePitch="312" w:charSpace="0"/>
        </w:sectPr>
      </w:pPr>
    </w:p>
    <w:p>
      <w:pPr>
        <w:pStyle w:val="3"/>
        <w:numPr>
          <w:ilvl w:val="0"/>
          <w:numId w:val="6"/>
        </w:numPr>
        <w:ind w:firstLine="0" w:firstLineChars="0"/>
        <w:jc w:val="center"/>
        <w:rPr>
          <w:sz w:val="32"/>
          <w:szCs w:val="32"/>
        </w:rPr>
      </w:pPr>
      <w:bookmarkStart w:id="34" w:name="_Toc24876"/>
      <w:r>
        <w:rPr>
          <w:rFonts w:hint="eastAsia"/>
          <w:sz w:val="32"/>
          <w:szCs w:val="32"/>
        </w:rPr>
        <w:t>改善农村环境</w:t>
      </w:r>
      <w:bookmarkEnd w:id="34"/>
    </w:p>
    <w:p>
      <w:pPr>
        <w:widowControl/>
        <w:ind w:firstLine="0" w:firstLineChars="0"/>
        <w:jc w:val="center"/>
        <w:outlineLvl w:val="1"/>
        <w:rPr>
          <w:b/>
          <w:bCs/>
          <w:sz w:val="32"/>
          <w:szCs w:val="32"/>
        </w:rPr>
      </w:pPr>
      <w:bookmarkStart w:id="35" w:name="_Toc8473"/>
      <w:r>
        <w:rPr>
          <w:rFonts w:hint="eastAsia"/>
          <w:b/>
          <w:bCs/>
          <w:sz w:val="32"/>
          <w:szCs w:val="32"/>
        </w:rPr>
        <w:t>第一节 加强农业生产污染治理</w:t>
      </w:r>
      <w:bookmarkEnd w:id="35"/>
    </w:p>
    <w:p>
      <w:pPr>
        <w:widowControl/>
        <w:ind w:firstLine="562"/>
      </w:pPr>
      <w:r>
        <w:rPr>
          <w:rFonts w:hint="eastAsia"/>
          <w:b/>
          <w:bCs/>
        </w:rPr>
        <w:t>加强种植业污染防治。</w:t>
      </w:r>
      <w:r>
        <w:rPr>
          <w:rFonts w:hint="eastAsia"/>
        </w:rPr>
        <w:t>开展化肥农药减量增效行动，积极推广缓释肥、水溶肥、微生物肥料等新型肥料，大力推进有机肥替代化肥。持续开展测土配方施肥，完善主要农作物测土配方施肥技术体系，提高肥料利用效率。加强农药包装废弃物管理，健全农田废旧地膜回收利用体系，提高废旧地膜回收率，到2025年，废弃地膜回收率达到85%以上。推进农作物</w:t>
      </w:r>
      <w:r>
        <w:rPr>
          <w:rFonts w:hint="eastAsia"/>
          <w:lang w:eastAsia="zh-CN"/>
        </w:rPr>
        <w:t>秸秆</w:t>
      </w:r>
      <w:r>
        <w:rPr>
          <w:rFonts w:hint="eastAsia"/>
        </w:rPr>
        <w:t>综合利用，不断完善</w:t>
      </w:r>
      <w:r>
        <w:rPr>
          <w:rFonts w:hint="eastAsia"/>
          <w:lang w:eastAsia="zh-CN"/>
        </w:rPr>
        <w:t>秸秆</w:t>
      </w:r>
      <w:r>
        <w:rPr>
          <w:rFonts w:hint="eastAsia"/>
        </w:rPr>
        <w:t>收储运用体系，形成布局合理、多元利用的</w:t>
      </w:r>
      <w:r>
        <w:rPr>
          <w:rFonts w:hint="eastAsia"/>
          <w:lang w:eastAsia="zh-CN"/>
        </w:rPr>
        <w:t>秸秆</w:t>
      </w:r>
      <w:r>
        <w:rPr>
          <w:rFonts w:hint="eastAsia"/>
        </w:rPr>
        <w:t>综合利用格局，到2025年，</w:t>
      </w:r>
      <w:r>
        <w:rPr>
          <w:rFonts w:hint="eastAsia"/>
          <w:lang w:eastAsia="zh-CN"/>
        </w:rPr>
        <w:t>秸秆</w:t>
      </w:r>
      <w:r>
        <w:rPr>
          <w:rFonts w:hint="eastAsia"/>
        </w:rPr>
        <w:t>综合利用率达到90%以上。</w:t>
      </w:r>
    </w:p>
    <w:p>
      <w:pPr>
        <w:widowControl/>
        <w:ind w:firstLine="562"/>
      </w:pPr>
      <w:r>
        <w:rPr>
          <w:rFonts w:hint="eastAsia"/>
          <w:b/>
          <w:bCs/>
        </w:rPr>
        <w:t>强化养殖业污染治理。</w:t>
      </w:r>
      <w:r>
        <w:rPr>
          <w:rFonts w:hint="eastAsia"/>
        </w:rPr>
        <w:t>推进畜禽粪污资源化利用，大力发展生态循环农业，全面规范规模化畜禽养殖场和养殖小区污染治理设施，以规模养殖场为重点，加强种养结合，整县推进畜禽粪污资源化利用。</w:t>
      </w:r>
    </w:p>
    <w:p>
      <w:pPr>
        <w:widowControl/>
        <w:ind w:firstLine="0" w:firstLineChars="0"/>
        <w:rPr>
          <w:b/>
          <w:bCs/>
        </w:rPr>
      </w:pPr>
      <w:r>
        <w:rPr>
          <w:rFonts w:hint="eastAsia"/>
        </w:rPr>
        <w:t>加大畜禽养殖废弃物收集、贮存、处理、输送和施用等设施建设力度。</w:t>
      </w:r>
    </w:p>
    <w:p>
      <w:pPr>
        <w:widowControl/>
        <w:numPr>
          <w:ilvl w:val="0"/>
          <w:numId w:val="7"/>
        </w:numPr>
        <w:ind w:firstLine="0" w:firstLineChars="0"/>
        <w:jc w:val="center"/>
        <w:outlineLvl w:val="1"/>
        <w:rPr>
          <w:b/>
          <w:bCs/>
          <w:sz w:val="32"/>
          <w:szCs w:val="32"/>
        </w:rPr>
      </w:pPr>
      <w:bookmarkStart w:id="36" w:name="_Toc4580"/>
      <w:r>
        <w:rPr>
          <w:rFonts w:hint="eastAsia"/>
          <w:b/>
          <w:bCs/>
          <w:sz w:val="32"/>
          <w:szCs w:val="32"/>
        </w:rPr>
        <w:t>推进农村人居环境</w:t>
      </w:r>
      <w:bookmarkEnd w:id="36"/>
      <w:r>
        <w:rPr>
          <w:rFonts w:hint="eastAsia"/>
          <w:b/>
          <w:bCs/>
          <w:sz w:val="32"/>
          <w:szCs w:val="32"/>
          <w:lang w:val="en-US" w:eastAsia="zh-CN"/>
        </w:rPr>
        <w:t>整治</w:t>
      </w:r>
    </w:p>
    <w:p>
      <w:pPr>
        <w:widowControl/>
        <w:ind w:firstLine="562"/>
      </w:pPr>
      <w:r>
        <w:rPr>
          <w:rFonts w:hint="eastAsia"/>
          <w:b/>
          <w:bCs/>
        </w:rPr>
        <w:t>建设美丽宜居乡村。</w:t>
      </w:r>
      <w:r>
        <w:rPr>
          <w:rFonts w:hint="eastAsia"/>
        </w:rPr>
        <w:t>持续推进“千村示范、万村整治”工程，以饮用水源保护、农村生活污水等为重点，推进村庄环境综合整治，深入实施村庄清洁和乡村绿化美化，全面改善村容村貌，实现村庄公共空间及庭院房屋、村庄周边干净整洁。</w:t>
      </w:r>
    </w:p>
    <w:p>
      <w:pPr>
        <w:widowControl/>
        <w:ind w:firstLine="562"/>
      </w:pPr>
      <w:r>
        <w:rPr>
          <w:rFonts w:hint="eastAsia"/>
          <w:b/>
          <w:bCs/>
        </w:rPr>
        <w:t>扎实推进农村厕所革命。</w:t>
      </w:r>
      <w:r>
        <w:rPr>
          <w:rFonts w:hint="eastAsia"/>
        </w:rPr>
        <w:t>因地制宜，推进农村卫生厕所改造。倡导新建农房配套室内水冲式厕所。合理安排乡村公共厕所建设目标任务，健全乡村公厕管护制度。</w:t>
      </w:r>
    </w:p>
    <w:p>
      <w:pPr>
        <w:widowControl/>
        <w:ind w:firstLine="562"/>
      </w:pPr>
      <w:r>
        <w:rPr>
          <w:rFonts w:hint="eastAsia"/>
          <w:b/>
          <w:bCs/>
        </w:rPr>
        <w:t>梯次推进农村生活污水治理。</w:t>
      </w:r>
      <w:r>
        <w:rPr>
          <w:rFonts w:hint="eastAsia"/>
        </w:rPr>
        <w:t>因地制宜采用减量化、生态化、资源化的治理模式，分类分步推进农村生活污水治理。优先治理乡（镇）政府驻地、中心村、城乡结合部、旅游风景区、饮用水源保护区等村庄生活污水，其他地区根据农村聚居点分布，合理选择污水治理方式。2025年，农村生活污水治理率达到30%左右。</w:t>
      </w:r>
    </w:p>
    <w:p>
      <w:pPr>
        <w:widowControl/>
        <w:ind w:firstLine="562"/>
        <w:jc w:val="left"/>
      </w:pPr>
      <w:r>
        <w:rPr>
          <w:b/>
          <w:bCs/>
        </w:rPr>
        <w:t>推进乡村生活垃圾全面治理。</w:t>
      </w:r>
      <w:r>
        <w:rPr>
          <w:rFonts w:hint="eastAsia"/>
        </w:rPr>
        <w:t>建立乡村生活垃圾收集、运输和处置体系稳定运行长效机制，基本实现所有乡（镇）、自然村（组）生活垃圾得到有效处理。积极开展生活垃圾分类试点示范，探索推进农村生活垃圾分类处理。到2025年，行政村垃圾收运处置体系覆盖率达到85%。</w:t>
      </w:r>
    </w:p>
    <w:p>
      <w:pPr>
        <w:ind w:firstLine="560"/>
      </w:pPr>
    </w:p>
    <w:p>
      <w:pPr>
        <w:pStyle w:val="2"/>
        <w:ind w:firstLine="562"/>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37" w:name="_Toc2048"/>
      <w:r>
        <w:rPr>
          <w:rFonts w:hint="eastAsia"/>
          <w:sz w:val="32"/>
          <w:szCs w:val="32"/>
        </w:rPr>
        <w:t>第九章 加强生态系统保护</w:t>
      </w:r>
      <w:bookmarkEnd w:id="37"/>
    </w:p>
    <w:p>
      <w:pPr>
        <w:widowControl/>
        <w:ind w:firstLine="0" w:firstLineChars="0"/>
        <w:jc w:val="center"/>
        <w:outlineLvl w:val="1"/>
        <w:rPr>
          <w:b/>
          <w:bCs/>
          <w:sz w:val="32"/>
          <w:szCs w:val="32"/>
        </w:rPr>
      </w:pPr>
      <w:bookmarkStart w:id="38" w:name="_Toc32165"/>
      <w:r>
        <w:rPr>
          <w:rFonts w:hint="eastAsia"/>
          <w:b/>
          <w:bCs/>
          <w:sz w:val="32"/>
          <w:szCs w:val="32"/>
        </w:rPr>
        <w:t>第一节 提升生态系统质量和稳定性</w:t>
      </w:r>
      <w:bookmarkEnd w:id="38"/>
    </w:p>
    <w:p>
      <w:pPr>
        <w:ind w:firstLine="562"/>
      </w:pPr>
      <w:r>
        <w:rPr>
          <w:rFonts w:hint="eastAsia"/>
          <w:b/>
          <w:bCs/>
        </w:rPr>
        <w:t>统筹山水林田湖草系统综合治理和保护。</w:t>
      </w:r>
      <w:r>
        <w:rPr>
          <w:rFonts w:hint="eastAsia"/>
        </w:rPr>
        <w:t>全面落实林长制，强化天然林保护和抚育，加强胡杨林保护，深入实施以农田防护林为主的防护林体系修复建设工程。科学开展国土绿化行动，充分考虑区域水资源承载能力，宜乔则乔、宜灌则灌、宜草则草、宜荒则荒，节俭务实开展国土绿化。加强喀</w:t>
      </w:r>
      <w:r>
        <w:rPr>
          <w:rFonts w:hint="eastAsia"/>
          <w:lang w:eastAsia="zh-CN"/>
        </w:rPr>
        <w:t>尔</w:t>
      </w:r>
      <w:r>
        <w:rPr>
          <w:rFonts w:hint="eastAsia"/>
        </w:rPr>
        <w:t>里克冰川区域保护，深入推进喀尔里克冰川禁牧工作。</w:t>
      </w:r>
    </w:p>
    <w:p>
      <w:pPr>
        <w:ind w:firstLine="562"/>
      </w:pPr>
      <w:r>
        <w:rPr>
          <w:rFonts w:hint="eastAsia"/>
          <w:b/>
          <w:bCs/>
        </w:rPr>
        <w:t>积极开展生态修复工程。</w:t>
      </w:r>
      <w:r>
        <w:rPr>
          <w:rFonts w:hint="eastAsia"/>
        </w:rPr>
        <w:t>全面落实东天山生态保护修复工程，继续扩大水源涵养区面积。城镇生态空间修复领域，以县城为重点，完善城镇水域布局，优化城市绿地布局，突出城市绿地功能，提升城镇生态系统质量和稳定性。矿山生态修复领域，重点要推进绿色矿山建设，开展历史遗留矿山生态修复，强化矿产资源开采与生态修复方案编制及实施监管，督促矿山企业履行地质环境保护与生态修复义务。农业生态空间修复领域，重点要</w:t>
      </w:r>
      <w:r>
        <w:rPr>
          <w:rFonts w:hint="eastAsia"/>
          <w:lang w:val="en-US" w:eastAsia="zh-CN"/>
        </w:rPr>
        <w:t>维护</w:t>
      </w:r>
      <w:r>
        <w:rPr>
          <w:rFonts w:hint="eastAsia"/>
        </w:rPr>
        <w:t>绿洲农田生态系统稳定，增强农田生态系统多样性。到2025年，争取退化林修复0.3万亩、森林抚育2万亩；退化草原生态修复治理0.2万亩；退牧还草1.2万亩；林草覆盖率达到45%。</w:t>
      </w:r>
    </w:p>
    <w:p>
      <w:pPr>
        <w:widowControl/>
        <w:numPr>
          <w:ilvl w:val="0"/>
          <w:numId w:val="8"/>
        </w:numPr>
        <w:ind w:firstLine="0" w:firstLineChars="0"/>
        <w:jc w:val="center"/>
        <w:outlineLvl w:val="1"/>
        <w:rPr>
          <w:b/>
          <w:bCs/>
          <w:sz w:val="32"/>
          <w:szCs w:val="32"/>
        </w:rPr>
      </w:pPr>
      <w:bookmarkStart w:id="39" w:name="_Toc16512"/>
      <w:r>
        <w:rPr>
          <w:rFonts w:hint="eastAsia"/>
          <w:b/>
          <w:bCs/>
          <w:sz w:val="32"/>
          <w:szCs w:val="32"/>
        </w:rPr>
        <w:t>加强生物多样性保护</w:t>
      </w:r>
      <w:bookmarkEnd w:id="39"/>
    </w:p>
    <w:p>
      <w:pPr>
        <w:ind w:firstLine="562"/>
      </w:pPr>
      <w:r>
        <w:rPr>
          <w:rFonts w:hint="eastAsia"/>
          <w:b/>
          <w:bCs/>
        </w:rPr>
        <w:t>加强生物安全监督管理。</w:t>
      </w:r>
      <w:r>
        <w:rPr>
          <w:rFonts w:hint="eastAsia"/>
        </w:rPr>
        <w:t>严格按照《中国生物多样性红色名录》，加强野生动植物保护监督，全面禁止野生动物非法交易。加强对雪莲等野生植物的监管，加强对自然保护地、生物多样性保护优先区域等重点区域外来入侵物种预警监测防控工作，提高外来有害生物的防控水平，确保生态系统、生物物种和遗传资源多样性得到有效保护。加强生物多样性保护与生物安全宣传教育，提高公众意识与参与程度。</w:t>
      </w:r>
    </w:p>
    <w:p>
      <w:pPr>
        <w:ind w:firstLine="562"/>
      </w:pPr>
      <w:r>
        <w:rPr>
          <w:rFonts w:hint="eastAsia"/>
          <w:b/>
          <w:bCs/>
        </w:rPr>
        <w:t>实施生物多样性保护重大工程。</w:t>
      </w:r>
      <w:r>
        <w:rPr>
          <w:rFonts w:hint="eastAsia"/>
        </w:rPr>
        <w:t>推进生物多样性调查工作，统筹就地保护与迁地保护，加大对国家重点保护和珍稀濒危野生动植物及其栖息地、原生境的保护修复，连通重要物种迁徙扩散廊道，构建生态保护网络。建立并不断完善野生动物收容救护中心建设，完善野生动物收容救护体系，实施珍稀濒危和极小种群物种抢救性保护，恢复提升重要保护物种、指示性物种野外种群数量。</w:t>
      </w:r>
    </w:p>
    <w:p>
      <w:pPr>
        <w:widowControl/>
        <w:numPr>
          <w:ilvl w:val="0"/>
          <w:numId w:val="8"/>
        </w:numPr>
        <w:ind w:firstLine="0" w:firstLineChars="0"/>
        <w:jc w:val="center"/>
        <w:outlineLvl w:val="1"/>
        <w:rPr>
          <w:b/>
          <w:bCs/>
          <w:sz w:val="32"/>
          <w:szCs w:val="32"/>
        </w:rPr>
      </w:pPr>
      <w:bookmarkStart w:id="40" w:name="_Toc18815"/>
      <w:r>
        <w:rPr>
          <w:rFonts w:hint="eastAsia"/>
          <w:b/>
          <w:bCs/>
          <w:sz w:val="32"/>
          <w:szCs w:val="32"/>
        </w:rPr>
        <w:t>强化生态保护监管</w:t>
      </w:r>
      <w:bookmarkEnd w:id="40"/>
    </w:p>
    <w:p>
      <w:pPr>
        <w:ind w:firstLine="562"/>
      </w:pPr>
      <w:r>
        <w:rPr>
          <w:rFonts w:hint="eastAsia"/>
          <w:b/>
          <w:bCs/>
        </w:rPr>
        <w:t>强化生态保护监督执法。</w:t>
      </w:r>
      <w:r>
        <w:rPr>
          <w:rFonts w:hint="eastAsia"/>
        </w:rPr>
        <w:t>开展自然保护地和生态保护红线人类活动遥感监测，及时发现、移交、查处各类破坏生态问题并监督保护修复情况。以自然保护地、生态保护红线为重点，依法依规开展生态环境保护综合行政执法。完善生态环境违法行为线索移送、联合执法、案件会商和信息共享工作机制。开展生态环境保护综合行政执法与自然资源、水利、林草等相关部门的联合执法。持续开展“绿盾”自然保护地强化监督，加强自然保护地、生态保护红线和重大工程生态保护监督检查。</w:t>
      </w:r>
    </w:p>
    <w:p>
      <w:pPr>
        <w:ind w:firstLine="562"/>
      </w:pPr>
      <w:r>
        <w:rPr>
          <w:b/>
          <w:bCs/>
        </w:rPr>
        <w:t>持续推进试点示范建设。</w:t>
      </w:r>
      <w:r>
        <w:rPr>
          <w:rFonts w:hint="eastAsia"/>
        </w:rPr>
        <w:t>积极</w:t>
      </w:r>
      <w:r>
        <w:t>开展</w:t>
      </w:r>
      <w:r>
        <w:rPr>
          <w:rFonts w:hint="eastAsia"/>
        </w:rPr>
        <w:t>国家级</w:t>
      </w:r>
      <w:r>
        <w:t>生态文明建设示范县创建、</w:t>
      </w:r>
      <w:r>
        <w:rPr>
          <w:rFonts w:hint="eastAsia"/>
        </w:rPr>
        <w:t>“</w:t>
      </w:r>
      <w:r>
        <w:t>绿水青山就是金山银山</w:t>
      </w:r>
      <w:r>
        <w:rPr>
          <w:rFonts w:hint="eastAsia"/>
        </w:rPr>
        <w:t>”</w:t>
      </w:r>
      <w:r>
        <w:t>实践创新基地建设等工作</w:t>
      </w:r>
      <w:r>
        <w:rPr>
          <w:rFonts w:hint="eastAsia"/>
        </w:rPr>
        <w:t>。</w:t>
      </w:r>
    </w:p>
    <w:p>
      <w:pPr>
        <w:ind w:firstLine="0" w:firstLineChars="0"/>
      </w:pPr>
    </w:p>
    <w:p>
      <w:pPr>
        <w:pStyle w:val="11"/>
        <w:ind w:firstLine="28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41" w:name="_Toc17152"/>
      <w:r>
        <w:rPr>
          <w:rFonts w:hint="eastAsia"/>
          <w:sz w:val="32"/>
          <w:szCs w:val="32"/>
        </w:rPr>
        <w:t>第十章 强化环境风险防控</w:t>
      </w:r>
      <w:bookmarkEnd w:id="41"/>
    </w:p>
    <w:p>
      <w:pPr>
        <w:widowControl/>
        <w:ind w:firstLine="0" w:firstLineChars="0"/>
        <w:jc w:val="center"/>
        <w:outlineLvl w:val="1"/>
        <w:rPr>
          <w:b/>
          <w:bCs/>
          <w:sz w:val="32"/>
          <w:szCs w:val="32"/>
        </w:rPr>
      </w:pPr>
      <w:bookmarkStart w:id="42" w:name="_Toc15729"/>
      <w:r>
        <w:rPr>
          <w:rFonts w:hint="eastAsia"/>
          <w:b/>
          <w:bCs/>
          <w:sz w:val="32"/>
          <w:szCs w:val="32"/>
        </w:rPr>
        <w:t>第一节 加强危险废物收集处理</w:t>
      </w:r>
      <w:bookmarkEnd w:id="42"/>
    </w:p>
    <w:p>
      <w:pPr>
        <w:ind w:firstLine="562"/>
      </w:pPr>
      <w:r>
        <w:rPr>
          <w:rFonts w:hint="eastAsia"/>
          <w:b/>
          <w:bCs/>
        </w:rPr>
        <w:t>提升危险废物收集与利用处置能力。</w:t>
      </w:r>
      <w:r>
        <w:rPr>
          <w:rFonts w:hint="eastAsia"/>
        </w:rPr>
        <w:t>组织开展危险废物产生、利用处置能力和设施运行情况评估，科学规划并实施危险废物集中处置设施建设，将危险废物集中处置设施纳入当地公共基础设施统筹建设。鼓励大型化工等产业基地配套建设危险废物利用处置设施。鼓励产生量大、种类单一的企业和园区配套建设危险废物收集贮存、预处理和处置设施，淘汰一批工艺落后、不符合标准规范的设施，提标改造一批设施，规范管理一批设施。</w:t>
      </w:r>
    </w:p>
    <w:p>
      <w:pPr>
        <w:ind w:firstLine="562"/>
      </w:pPr>
      <w:r>
        <w:rPr>
          <w:rFonts w:hint="eastAsia"/>
          <w:b/>
          <w:bCs/>
        </w:rPr>
        <w:t>补齐医疗废物处置与应急能力短板。</w:t>
      </w:r>
      <w:r>
        <w:rPr>
          <w:rFonts w:hint="eastAsia"/>
        </w:rPr>
        <w:t>完善医疗废物收集转运体系，推进伊吾县医疗废物集中处置项目建设，补齐处置类型和处置能力不足短板，实现辖区内医疗废物收集转运和处置能力自足。推动完善医疗废物收集转运处置体系并覆盖周边乡（镇）、农村地区，补齐偏远地区及乡村医疗废物收集运输体系覆盖不足的短板。</w:t>
      </w:r>
      <w:r>
        <w:t>加强医疗废物分类管理，做好源头分类和收集转运处置全过程监管，确保医疗废物及时规范收集转运和安全处置。</w:t>
      </w:r>
      <w:r>
        <w:rPr>
          <w:rFonts w:hint="eastAsia"/>
        </w:rPr>
        <w:t>完善医疗废物处置应急预案，加快医疗废物集中处置设施应急备用能力建设，保障重大疫情医疗废物应急处置能力。</w:t>
      </w:r>
    </w:p>
    <w:p>
      <w:pPr>
        <w:ind w:firstLine="562"/>
      </w:pPr>
      <w:r>
        <w:rPr>
          <w:rFonts w:hint="eastAsia"/>
          <w:b/>
          <w:bCs/>
        </w:rPr>
        <w:t>强化危险废物全过程环境监管。</w:t>
      </w:r>
      <w:r>
        <w:rPr>
          <w:rFonts w:hint="eastAsia"/>
        </w:rPr>
        <w:t>建立健全各类危险废物重点监管单位清单，全面实行危险废物清单化管理。督促各类危险废物产生单位和经营单位依法申报危险废物产生处置情况，报备管理计划，做好信息公开工作，规范运行危险废物转移联单。严格执行《国家危险废物名录》，加强危险废物经营许可、跨省转移以及危险废物鉴别等工作。加强危险废物环境监管机构和人才队伍建设，提升危险废物监管能力、鉴别能力与应急处置技术支持能力。深入开展危险废物规范化环境管理评估考核与专项整治，依法打击非法排放、倾倒、转移、利用、处置危险废物等环境违法犯罪行为。</w:t>
      </w:r>
    </w:p>
    <w:p>
      <w:pPr>
        <w:ind w:firstLine="562"/>
      </w:pPr>
      <w:r>
        <w:rPr>
          <w:rFonts w:hint="eastAsia"/>
          <w:b/>
          <w:bCs/>
        </w:rPr>
        <w:t>强化涉重金属污染风险防控。</w:t>
      </w:r>
      <w:r>
        <w:rPr>
          <w:rFonts w:hint="eastAsia"/>
        </w:rPr>
        <w:t>动态更新涉重金属重点行业企业全口径清单，深入推进有色金属采选及加工等重点行业重金属污染治理，严格落实重金属污染防治措施和环境监测制度。严格涉重金属企业环境准入管理，实施分级分类管控。</w:t>
      </w:r>
    </w:p>
    <w:p>
      <w:pPr>
        <w:widowControl/>
        <w:numPr>
          <w:ilvl w:val="0"/>
          <w:numId w:val="9"/>
        </w:numPr>
        <w:ind w:firstLine="0" w:firstLineChars="0"/>
        <w:jc w:val="center"/>
        <w:outlineLvl w:val="1"/>
        <w:rPr>
          <w:b/>
          <w:bCs/>
          <w:sz w:val="32"/>
          <w:szCs w:val="32"/>
        </w:rPr>
      </w:pPr>
      <w:bookmarkStart w:id="43" w:name="_Toc27633"/>
      <w:r>
        <w:rPr>
          <w:rFonts w:hint="eastAsia"/>
          <w:b/>
          <w:bCs/>
          <w:sz w:val="32"/>
          <w:szCs w:val="32"/>
        </w:rPr>
        <w:t>推进矿山企业循环发展</w:t>
      </w:r>
      <w:bookmarkEnd w:id="43"/>
    </w:p>
    <w:p>
      <w:pPr>
        <w:ind w:firstLine="562"/>
      </w:pPr>
      <w:r>
        <w:rPr>
          <w:rFonts w:hint="eastAsia"/>
          <w:b/>
          <w:bCs/>
        </w:rPr>
        <w:t>提高资源利用效率。</w:t>
      </w:r>
      <w:r>
        <w:rPr>
          <w:rFonts w:hint="eastAsia"/>
        </w:rPr>
        <w:t>稳步推进金属尾矿有价组分高效提取及整体利用，提升煤矿、铁矿、金矿等重点矿山资源利用效率。加强对低品位矿、共伴生矿、难选冶矿、尾矿、煤矸石等综合利用，推进有价组分高效提取利用。推动有价金属提取后剩余废渣的规模化利用。提升矿井水、污水处理设施技术水平，优先用于企业生产和绿化，提高矿山企业水资源利用效率。</w:t>
      </w:r>
    </w:p>
    <w:p>
      <w:pPr>
        <w:widowControl/>
        <w:ind w:firstLine="562"/>
        <w:jc w:val="left"/>
      </w:pPr>
      <w:r>
        <w:rPr>
          <w:rFonts w:hint="eastAsia"/>
          <w:b/>
          <w:bCs/>
        </w:rPr>
        <w:t>创新资源利用模式。</w:t>
      </w:r>
      <w:r>
        <w:rPr>
          <w:rFonts w:hint="eastAsia"/>
        </w:rPr>
        <w:t>鼓励矿山企业采用充填采矿法并优先采用尾矿充填采矿法，解决辖区尾矿堆存处置问题；在矿山行业建立“梯级回收</w:t>
      </w:r>
      <w:r>
        <w:t>+</w:t>
      </w:r>
      <w:r>
        <w:rPr>
          <w:rFonts w:hint="eastAsia"/>
        </w:rPr>
        <w:t>生态修复</w:t>
      </w:r>
      <w:r>
        <w:t>+</w:t>
      </w:r>
      <w:r>
        <w:rPr>
          <w:rFonts w:hint="eastAsia"/>
        </w:rPr>
        <w:t>封存保护”体系，推动绿色矿山建设；针对退役光伏组件、风电机组叶片等新兴产业的固体废物，探索规范回收以及可循环、高值化的再生利用途径。</w:t>
      </w:r>
    </w:p>
    <w:p>
      <w:pPr>
        <w:widowControl/>
        <w:ind w:firstLine="562"/>
        <w:jc w:val="left"/>
      </w:pPr>
      <w:r>
        <w:rPr>
          <w:rFonts w:hint="eastAsia"/>
          <w:b/>
          <w:bCs/>
        </w:rPr>
        <w:t>推动绿色发展。</w:t>
      </w:r>
      <w:r>
        <w:rPr>
          <w:rFonts w:hint="eastAsia"/>
        </w:rPr>
        <w:t>聚焦绿化恢复治理，推进绿色矿山建设，深入推进矿山企业贯彻绿色发展理念。加强清洁生产审核，持续开展尾矿减量化工作。强化矿山固体废物综合利用全流程管理，严格落实全过程环境污染防治责任。推行绿色运输，鼓励使用专用运输设备和车辆，加强运输过程管理。加强固体废物贮存及处置管理，强化主体责任，推动建设符合相关国家标准的贮存设施，实现安全分类存放，杜绝混排混堆现象。统筹兼顾固体废物增量消纳和存量治理，健全环保长效监督管理制度。</w:t>
      </w:r>
    </w:p>
    <w:p>
      <w:pPr>
        <w:widowControl/>
        <w:ind w:firstLine="562"/>
        <w:jc w:val="left"/>
      </w:pPr>
      <w:r>
        <w:rPr>
          <w:rFonts w:hint="eastAsia"/>
          <w:b/>
          <w:bCs/>
        </w:rPr>
        <w:t>防范尾矿库环境风险。</w:t>
      </w:r>
      <w:r>
        <w:rPr>
          <w:rFonts w:hint="eastAsia"/>
        </w:rPr>
        <w:t>严格新（改、扩）建尾矿库环境准入，坚持“一矿一策”，因地制宜推进重点尾矿库污染治理。建立尾矿库分级分类环境管理制度，加强尾矿库环境风险隐患排查治理。</w:t>
      </w:r>
    </w:p>
    <w:p>
      <w:pPr>
        <w:widowControl/>
        <w:numPr>
          <w:ilvl w:val="0"/>
          <w:numId w:val="9"/>
        </w:numPr>
        <w:ind w:firstLine="0" w:firstLineChars="0"/>
        <w:jc w:val="center"/>
        <w:outlineLvl w:val="1"/>
        <w:rPr>
          <w:b/>
          <w:bCs/>
          <w:sz w:val="32"/>
          <w:szCs w:val="32"/>
        </w:rPr>
      </w:pPr>
      <w:bookmarkStart w:id="44" w:name="_Toc20205"/>
      <w:r>
        <w:rPr>
          <w:rFonts w:hint="eastAsia"/>
          <w:b/>
          <w:bCs/>
          <w:sz w:val="32"/>
          <w:szCs w:val="32"/>
        </w:rPr>
        <w:t>推动固体废物减量化资源化</w:t>
      </w:r>
      <w:bookmarkEnd w:id="44"/>
    </w:p>
    <w:p>
      <w:pPr>
        <w:widowControl/>
        <w:ind w:firstLine="562"/>
        <w:jc w:val="left"/>
      </w:pPr>
      <w:r>
        <w:rPr>
          <w:rFonts w:hint="eastAsia"/>
          <w:b/>
          <w:bCs/>
        </w:rPr>
        <w:t>推进固体废物源头减量和资源化利用。</w:t>
      </w:r>
      <w:r>
        <w:rPr>
          <w:rFonts w:hint="eastAsia"/>
        </w:rPr>
        <w:t>积极融入哈密市“无废城市”建设，加强固体废物源头减量、资源化利用和无害化处置，最大限度减少填埋量。以尾矿和共伴生矿、煤矸石、炉渣、粉煤灰、脱硫石膏、冶炼渣、建筑垃圾等为重点，持续推进固体废物综合利用和环境整治。加快推进淖毛湖工业园区污水处理厂、固体废物处置中心建设。建立和完善再生资源回收利用体系，推动废钢铁、废旧有色金属、废塑料、废旧轮胎等再生资源回收、加工分拣、再利用、销售等再生资源产业链的形成与发展。推进农副产品加工过程废弃物资源化处理。</w:t>
      </w:r>
    </w:p>
    <w:p>
      <w:pPr>
        <w:widowControl/>
        <w:ind w:firstLine="0" w:firstLineChars="0"/>
        <w:jc w:val="left"/>
      </w:pPr>
      <w:r>
        <w:rPr>
          <w:rFonts w:hint="eastAsia"/>
        </w:rPr>
        <w:t>加快推进生活垃圾分类工作，坚持源头减量，建立分类投放、分类收集、分类运输、分类处理系统，加快建设生活垃圾处理设施。</w:t>
      </w:r>
    </w:p>
    <w:p>
      <w:pPr>
        <w:ind w:firstLine="562"/>
      </w:pPr>
      <w:r>
        <w:rPr>
          <w:b/>
          <w:bCs/>
        </w:rPr>
        <w:t>加强白色污染治理。</w:t>
      </w:r>
      <w:r>
        <w:t>积极推广替代产品，增加可循环、易回收、可降解绿色产品供给。有序限制、禁止部分塑料制品生产、销售和使用。持续减少一次性不可降解塑料袋、一次性塑料餐具、宾馆酒店一次性塑料用品、快递一次性塑料包装等使用。持续开展塑料污染治理部门联合专项行动。加强废塑料回收和加工利用行业污染治理。加快培育废塑料综合利用骨干企业，提升废塑料综合利用水平。</w:t>
      </w:r>
    </w:p>
    <w:p>
      <w:pPr>
        <w:widowControl/>
        <w:numPr>
          <w:ilvl w:val="0"/>
          <w:numId w:val="9"/>
        </w:numPr>
        <w:ind w:firstLine="0" w:firstLineChars="0"/>
        <w:jc w:val="center"/>
        <w:outlineLvl w:val="1"/>
        <w:rPr>
          <w:b/>
          <w:bCs/>
          <w:sz w:val="32"/>
          <w:szCs w:val="32"/>
        </w:rPr>
      </w:pPr>
      <w:bookmarkStart w:id="45" w:name="_Toc17075"/>
      <w:r>
        <w:rPr>
          <w:rFonts w:hint="eastAsia"/>
          <w:b/>
          <w:bCs/>
          <w:sz w:val="32"/>
          <w:szCs w:val="32"/>
        </w:rPr>
        <w:t>重视新污染物治理</w:t>
      </w:r>
      <w:bookmarkEnd w:id="45"/>
    </w:p>
    <w:p>
      <w:pPr>
        <w:ind w:firstLine="562"/>
      </w:pPr>
      <w:r>
        <w:rPr>
          <w:b/>
          <w:bCs/>
        </w:rPr>
        <w:t>加强新污染物排放控制。</w:t>
      </w:r>
      <w:r>
        <w:t>强化新化学物质环境管理登记，加强事中事后监管，督促企业落实环境风险管控措施。全面落实《产业结构调整指导目录》中有毒有害化学物质的淘汰和限制措施，强化绿色替代品和替代技术的推广应用。严格执行产品质量标准中有毒有害化学物质的含量限值。对使用有毒有害化学物质或在生产过程中排放新污染物的企业，全面实施强制性清洁生产审核。</w:t>
      </w:r>
      <w:r>
        <w:rPr>
          <w:rFonts w:hint="eastAsia"/>
        </w:rPr>
        <w:t>加强煤化工等行业新污染物环境风险管控。</w:t>
      </w:r>
    </w:p>
    <w:p>
      <w:pPr>
        <w:ind w:firstLine="562"/>
      </w:pPr>
      <w:r>
        <w:rPr>
          <w:b/>
          <w:bCs/>
        </w:rPr>
        <w:t>加快淘汰、限制、减少国际环境公约管控化学品。</w:t>
      </w:r>
      <w:r>
        <w:t>严格落实《自治区履行&lt;关于持久性有机污染物的斯德哥尔摩公约国家实施计划（增补版）</w:t>
      </w:r>
      <w:r>
        <w:rPr>
          <w:rFonts w:hint="eastAsia"/>
        </w:rPr>
        <w:t>&gt;</w:t>
      </w:r>
      <w:r>
        <w:t>和</w:t>
      </w:r>
      <w:r>
        <w:rPr>
          <w:rFonts w:hint="eastAsia"/>
        </w:rPr>
        <w:t>&lt;</w:t>
      </w:r>
      <w:r>
        <w:t>关于汞的水俣公约</w:t>
      </w:r>
      <w:r>
        <w:rPr>
          <w:rFonts w:hint="eastAsia"/>
        </w:rPr>
        <w:t>&gt;</w:t>
      </w:r>
      <w:r>
        <w:t>实施方案》，做好环境国际公约的国内履约工作。鼓励对限制或禁止的持久性有机污染物替代品和替代技术的研发与应用。严厉打击持久性有机污染物的非法生产和使用、添汞产品非法生产等违法行为</w:t>
      </w:r>
      <w:r>
        <w:rPr>
          <w:rFonts w:hint="eastAsia"/>
        </w:rPr>
        <w:t>。</w:t>
      </w:r>
    </w:p>
    <w:p>
      <w:pPr>
        <w:widowControl/>
        <w:numPr>
          <w:ilvl w:val="0"/>
          <w:numId w:val="9"/>
        </w:numPr>
        <w:ind w:firstLine="0" w:firstLineChars="0"/>
        <w:jc w:val="center"/>
        <w:outlineLvl w:val="1"/>
        <w:rPr>
          <w:b/>
          <w:bCs/>
          <w:sz w:val="32"/>
          <w:szCs w:val="32"/>
        </w:rPr>
      </w:pPr>
      <w:bookmarkStart w:id="46" w:name="_Toc6304"/>
      <w:r>
        <w:rPr>
          <w:rFonts w:hint="eastAsia"/>
          <w:b/>
          <w:bCs/>
          <w:sz w:val="32"/>
          <w:szCs w:val="32"/>
        </w:rPr>
        <w:t>强化环境风险预警与应急</w:t>
      </w:r>
      <w:bookmarkEnd w:id="46"/>
    </w:p>
    <w:p>
      <w:pPr>
        <w:ind w:firstLine="562"/>
      </w:pPr>
      <w:r>
        <w:rPr>
          <w:rFonts w:hint="eastAsia"/>
          <w:b/>
          <w:bCs/>
        </w:rPr>
        <w:t>加强环境风险预警防控。</w:t>
      </w:r>
      <w:r>
        <w:t>加强涉危险废物企业、涉重金属企业、化工园区、集中式饮用水水源地及重点流域环境风险调查评估，实施分类分级风险管控</w:t>
      </w:r>
      <w:r>
        <w:rPr>
          <w:rFonts w:hint="eastAsia"/>
        </w:rPr>
        <w:t>，落实协同防控，积极创建生态环境综合整治和风险防控示范工程。</w:t>
      </w:r>
    </w:p>
    <w:p>
      <w:pPr>
        <w:ind w:firstLine="562"/>
      </w:pPr>
      <w:r>
        <w:rPr>
          <w:rFonts w:hint="eastAsia"/>
          <w:b/>
          <w:bCs/>
        </w:rPr>
        <w:t>强化生态环境应急管理。</w:t>
      </w:r>
      <w:r>
        <w:t>实施企业突发环境事件应急预案信息化备案，完成县突发环境事件应急预案修编。完善区域和企业应急处置物资储备系统，加强应急物资储备及应急物资信息化建设，掌握社会应急物资储备动态</w:t>
      </w:r>
      <w:r>
        <w:rPr>
          <w:rFonts w:hint="eastAsia"/>
        </w:rPr>
        <w:t>信息。加强应急监测装备配置，加快推进伊吾县淖毛湖工业园区应急储备库建设，定期开展应急演练，增强实战能力。</w:t>
      </w:r>
    </w:p>
    <w:p>
      <w:pPr>
        <w:ind w:firstLine="562"/>
      </w:pPr>
      <w:r>
        <w:rPr>
          <w:b/>
          <w:bCs/>
        </w:rPr>
        <w:t>完善生态环境应急体系建设。</w:t>
      </w:r>
      <w:r>
        <w:t>以工业园区、尾矿库、冶炼企业等为重点，健全防范化解突发生态环境事件风险和应急准备责任体系，严格落实企业主体责任。</w:t>
      </w:r>
    </w:p>
    <w:p>
      <w:pPr>
        <w:widowControl/>
        <w:numPr>
          <w:ilvl w:val="0"/>
          <w:numId w:val="9"/>
        </w:numPr>
        <w:ind w:firstLine="0" w:firstLineChars="0"/>
        <w:jc w:val="center"/>
        <w:outlineLvl w:val="1"/>
        <w:rPr>
          <w:b/>
          <w:bCs/>
          <w:sz w:val="32"/>
          <w:szCs w:val="32"/>
        </w:rPr>
      </w:pPr>
      <w:bookmarkStart w:id="47" w:name="_Toc11470"/>
      <w:r>
        <w:rPr>
          <w:rFonts w:hint="eastAsia"/>
          <w:b/>
          <w:bCs/>
          <w:sz w:val="32"/>
          <w:szCs w:val="32"/>
        </w:rPr>
        <w:t>提高核与辐射安全水平</w:t>
      </w:r>
      <w:bookmarkEnd w:id="47"/>
    </w:p>
    <w:p>
      <w:pPr>
        <w:ind w:firstLine="560"/>
        <w:rPr>
          <w:color w:val="000000"/>
        </w:rPr>
      </w:pPr>
      <w:r>
        <w:rPr>
          <w:rFonts w:hint="eastAsia"/>
          <w:color w:val="000000"/>
        </w:rPr>
        <w:t>加强辐射环境监管、监测及风险防控能力建设。贯彻落实核与辐射相关法律法规及制度文件。严格执行辐射安全许可证制度，加强辐射应急体系建设。加大检查力度，开展辐射安全隐患排查，严厉查处辐射环境违法行为。</w:t>
      </w:r>
    </w:p>
    <w:p>
      <w:pPr>
        <w:pStyle w:val="18"/>
        <w:ind w:left="560" w:firstLine="643"/>
        <w:rPr>
          <w:b/>
          <w:bCs/>
          <w:sz w:val="32"/>
          <w:szCs w:val="32"/>
        </w:rPr>
        <w:sectPr>
          <w:pgSz w:w="11906" w:h="16838"/>
          <w:pgMar w:top="1440" w:right="1800" w:bottom="1440" w:left="1800" w:header="851" w:footer="992" w:gutter="0"/>
          <w:cols w:space="425" w:num="1"/>
          <w:docGrid w:type="lines" w:linePitch="312" w:charSpace="0"/>
        </w:sectPr>
      </w:pPr>
    </w:p>
    <w:p>
      <w:pPr>
        <w:pStyle w:val="3"/>
        <w:ind w:firstLine="0" w:firstLineChars="0"/>
        <w:jc w:val="center"/>
      </w:pPr>
      <w:bookmarkStart w:id="48" w:name="_Toc29015"/>
      <w:r>
        <w:rPr>
          <w:rFonts w:hint="eastAsia"/>
          <w:sz w:val="32"/>
          <w:szCs w:val="32"/>
        </w:rPr>
        <w:t>第十一章 提升环境监管水平</w:t>
      </w:r>
      <w:bookmarkEnd w:id="48"/>
    </w:p>
    <w:p>
      <w:pPr>
        <w:widowControl/>
        <w:ind w:firstLine="0" w:firstLineChars="0"/>
        <w:jc w:val="center"/>
        <w:outlineLvl w:val="1"/>
        <w:rPr>
          <w:b/>
          <w:bCs/>
          <w:sz w:val="32"/>
          <w:szCs w:val="32"/>
        </w:rPr>
      </w:pPr>
      <w:bookmarkStart w:id="49" w:name="_Toc6063"/>
      <w:r>
        <w:rPr>
          <w:rFonts w:hint="eastAsia"/>
          <w:b/>
          <w:bCs/>
          <w:sz w:val="32"/>
          <w:szCs w:val="32"/>
        </w:rPr>
        <w:t>第一节 持续提升环境质量监测能力建设</w:t>
      </w:r>
      <w:bookmarkEnd w:id="49"/>
    </w:p>
    <w:p>
      <w:pPr>
        <w:ind w:firstLine="562"/>
      </w:pPr>
      <w:r>
        <w:rPr>
          <w:rFonts w:hint="eastAsia"/>
          <w:b/>
          <w:bCs/>
        </w:rPr>
        <w:t>构建大气环境立体综合监测体系。</w:t>
      </w:r>
      <w:r>
        <w:rPr>
          <w:rFonts w:hint="eastAsia"/>
        </w:rPr>
        <w:t>构建以自动监测为主的大气环境立体综合监测体系，空气自动站建设向工业园区和重点乡（镇）延伸，实现精准评价。建立健全工业园区挥发性有机物、自动组分网监测，积极开展交通污染专项监测。</w:t>
      </w:r>
    </w:p>
    <w:p>
      <w:pPr>
        <w:ind w:firstLine="562"/>
      </w:pPr>
      <w:r>
        <w:rPr>
          <w:rFonts w:hint="eastAsia"/>
          <w:b/>
          <w:bCs/>
        </w:rPr>
        <w:t>不断扩大水环境监测覆盖面。</w:t>
      </w:r>
      <w:r>
        <w:t>地表水环境监测实现重要水体、重要水功能区全覆盖，开展重点区域地下水环境监测。按照饮用水水源地的供水区域行政级别，分级分类开展饮用水水源地水质监测，开展</w:t>
      </w:r>
      <w:r>
        <w:rPr>
          <w:rFonts w:hint="eastAsia"/>
        </w:rPr>
        <w:t>“</w:t>
      </w:r>
      <w:r>
        <w:t>千吨万人</w:t>
      </w:r>
      <w:r>
        <w:rPr>
          <w:rFonts w:hint="eastAsia"/>
        </w:rPr>
        <w:t>”</w:t>
      </w:r>
      <w:r>
        <w:t>集中式农村饮用水水源地水质监测。</w:t>
      </w:r>
    </w:p>
    <w:p>
      <w:pPr>
        <w:ind w:firstLine="562"/>
      </w:pPr>
      <w:r>
        <w:rPr>
          <w:rFonts w:hint="eastAsia"/>
          <w:b/>
          <w:bCs/>
        </w:rPr>
        <w:t>建立土壤环境和生态状况监测体系。</w:t>
      </w:r>
      <w:r>
        <w:t>以保护土壤环境、支撑风险管控为核心，健全分类监测、动态调整、轮次开展、部门协同的土壤环境监测体系，实现重点区域、敏感区域和重点企业土壤监测全覆盖。完善生态状况监测，探索开展生态系统质量与结构功能、生物多样性状况、生态保护监管等监测和评估。</w:t>
      </w:r>
    </w:p>
    <w:p>
      <w:pPr>
        <w:widowControl/>
        <w:numPr>
          <w:ilvl w:val="0"/>
          <w:numId w:val="10"/>
        </w:numPr>
        <w:ind w:firstLine="0" w:firstLineChars="0"/>
        <w:jc w:val="center"/>
        <w:outlineLvl w:val="1"/>
        <w:rPr>
          <w:b/>
          <w:bCs/>
          <w:sz w:val="32"/>
          <w:szCs w:val="32"/>
        </w:rPr>
      </w:pPr>
      <w:bookmarkStart w:id="50" w:name="_Toc9020"/>
      <w:r>
        <w:rPr>
          <w:rFonts w:hint="eastAsia"/>
          <w:b/>
          <w:bCs/>
          <w:sz w:val="32"/>
          <w:szCs w:val="32"/>
        </w:rPr>
        <w:t>全面加强污染源监测监控</w:t>
      </w:r>
      <w:bookmarkEnd w:id="50"/>
    </w:p>
    <w:p>
      <w:pPr>
        <w:ind w:firstLine="562"/>
      </w:pPr>
      <w:r>
        <w:rPr>
          <w:rFonts w:hint="eastAsia"/>
          <w:b/>
          <w:bCs/>
        </w:rPr>
        <w:t>加强企业自行监测管理。</w:t>
      </w:r>
      <w:r>
        <w:rPr>
          <w:rFonts w:hint="eastAsia"/>
        </w:rPr>
        <w:t>全面履行排污单位自行监测及信息公开制度，加强帮扶指导和调度监督，督促取得排污许可证的排污单位按要求开展监测。</w:t>
      </w:r>
    </w:p>
    <w:p>
      <w:pPr>
        <w:ind w:firstLine="562"/>
      </w:pPr>
      <w:r>
        <w:rPr>
          <w:rFonts w:hint="eastAsia"/>
          <w:b/>
          <w:bCs/>
        </w:rPr>
        <w:t>健全污染源执法监测。</w:t>
      </w:r>
      <w:r>
        <w:rPr>
          <w:rFonts w:hint="eastAsia"/>
        </w:rPr>
        <w:t>逐步建立影响大气、水、土壤等各环境要素、统筹固定污染源、移动源、面源的污染源执法监测体系。开展农业面源监测、日处理能力20吨及以上的农村生活污水处理设施出水水质监测、规模化畜禽养殖场自行监测等。</w:t>
      </w:r>
      <w:r>
        <w:t>加强监测与执法协同联动，针对重点行业、重点区域分级开展排污单位达标排放监督监测</w:t>
      </w:r>
      <w:r>
        <w:rPr>
          <w:rFonts w:hint="eastAsia"/>
        </w:rPr>
        <w:t>。</w:t>
      </w:r>
    </w:p>
    <w:p>
      <w:pPr>
        <w:ind w:firstLine="562"/>
      </w:pPr>
      <w:r>
        <w:rPr>
          <w:b/>
          <w:bCs/>
        </w:rPr>
        <w:t>推动监测信息公开。</w:t>
      </w:r>
      <w:r>
        <w:t>推进污染源监测数据联网，加大排污单位自行监测数据和污染源监督监测数据公开力度，充分发挥社会监督作用。</w:t>
      </w:r>
    </w:p>
    <w:p>
      <w:pPr>
        <w:widowControl/>
        <w:numPr>
          <w:ilvl w:val="0"/>
          <w:numId w:val="10"/>
        </w:numPr>
        <w:ind w:firstLine="0" w:firstLineChars="0"/>
        <w:jc w:val="center"/>
        <w:outlineLvl w:val="1"/>
        <w:rPr>
          <w:b/>
          <w:bCs/>
          <w:sz w:val="32"/>
          <w:szCs w:val="32"/>
        </w:rPr>
      </w:pPr>
      <w:bookmarkStart w:id="51" w:name="_Toc13704"/>
      <w:r>
        <w:rPr>
          <w:rFonts w:hint="eastAsia"/>
          <w:b/>
          <w:bCs/>
          <w:sz w:val="32"/>
          <w:szCs w:val="32"/>
        </w:rPr>
        <w:t>加强综合执法能力建设</w:t>
      </w:r>
      <w:bookmarkEnd w:id="51"/>
    </w:p>
    <w:p>
      <w:pPr>
        <w:ind w:firstLine="562"/>
      </w:pPr>
      <w:r>
        <w:rPr>
          <w:b/>
          <w:bCs/>
        </w:rPr>
        <w:t>强化执法队伍建设。</w:t>
      </w:r>
      <w:r>
        <w:t>优化执法人员结构，不断提高干部队伍素质，进一步加大执法系统干部培训教育力度，重点加强对重点行业环境执法技能、生态环境保护法律法规及现代信息技术的培训教育。</w:t>
      </w:r>
    </w:p>
    <w:p>
      <w:pPr>
        <w:ind w:firstLine="562"/>
      </w:pPr>
      <w:r>
        <w:rPr>
          <w:rFonts w:hint="eastAsia"/>
          <w:b/>
          <w:bCs/>
        </w:rPr>
        <w:t>提升执法装备水平。</w:t>
      </w:r>
      <w:r>
        <w:t>全面推进执法标准化建设，配备执法执勤用车、取证设备、执法装备等，大力推广使用新型科学执法手段，加强快速检测仪器、无人机、卫星遥感等技术手段的应用。</w:t>
      </w:r>
    </w:p>
    <w:p>
      <w:pPr>
        <w:ind w:firstLine="562"/>
        <w:rPr>
          <w:rFonts w:ascii="仿宋_GB2312" w:hAnsi="仿宋_GB2312" w:eastAsia="仿宋_GB2312" w:cs="仿宋_GB2312"/>
          <w:color w:val="000000"/>
          <w:kern w:val="0"/>
          <w:szCs w:val="31"/>
          <w:lang w:bidi="ar"/>
        </w:rPr>
      </w:pPr>
      <w:r>
        <w:rPr>
          <w:rFonts w:hint="eastAsia"/>
          <w:b/>
          <w:bCs/>
        </w:rPr>
        <w:t>提高综合执法效能。</w:t>
      </w:r>
      <w:r>
        <w:t>将</w:t>
      </w:r>
      <w:r>
        <w:rPr>
          <w:rFonts w:hint="eastAsia"/>
        </w:rPr>
        <w:t>“</w:t>
      </w:r>
      <w:r>
        <w:t>双随机、一公开</w:t>
      </w:r>
      <w:r>
        <w:rPr>
          <w:rFonts w:hint="eastAsia"/>
        </w:rPr>
        <w:t>”</w:t>
      </w:r>
      <w:r>
        <w:t>作为生态环境监管活动的基本手段和方式，加强重点区域生态环境执法能力，强化部门联动和协调配合，推行跨部门联合执法、交叉执法。持续推动实施常态化监督执法正面清单管理制度，采取差异化监管措施，落实优化营商环境要求</w:t>
      </w:r>
      <w:r>
        <w:rPr>
          <w:rFonts w:hint="eastAsia"/>
        </w:rPr>
        <w:t>。</w:t>
      </w:r>
    </w:p>
    <w:p>
      <w:pPr>
        <w:pStyle w:val="12"/>
        <w:ind w:left="0" w:leftChars="0" w:firstLine="0" w:firstLineChars="0"/>
      </w:pPr>
    </w:p>
    <w:p>
      <w:pPr>
        <w:pStyle w:val="12"/>
        <w:ind w:left="560" w:firstLine="56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52" w:name="_Toc3515"/>
      <w:r>
        <w:rPr>
          <w:rFonts w:hint="eastAsia"/>
          <w:sz w:val="32"/>
          <w:szCs w:val="32"/>
        </w:rPr>
        <w:t>第十二章 建设现代环境治理体系</w:t>
      </w:r>
      <w:bookmarkEnd w:id="52"/>
    </w:p>
    <w:p>
      <w:pPr>
        <w:widowControl/>
        <w:numPr>
          <w:ilvl w:val="0"/>
          <w:numId w:val="11"/>
        </w:numPr>
        <w:ind w:firstLine="0" w:firstLineChars="0"/>
        <w:jc w:val="center"/>
        <w:outlineLvl w:val="1"/>
        <w:rPr>
          <w:b/>
          <w:bCs/>
          <w:sz w:val="32"/>
          <w:szCs w:val="32"/>
        </w:rPr>
      </w:pPr>
      <w:bookmarkStart w:id="53" w:name="_Toc3596"/>
      <w:r>
        <w:rPr>
          <w:rFonts w:hint="eastAsia"/>
          <w:b/>
          <w:bCs/>
          <w:sz w:val="32"/>
          <w:szCs w:val="32"/>
        </w:rPr>
        <w:t>健全环境治理领导责任体系</w:t>
      </w:r>
      <w:bookmarkEnd w:id="53"/>
    </w:p>
    <w:p>
      <w:pPr>
        <w:ind w:firstLine="562"/>
      </w:pPr>
      <w:r>
        <w:rPr>
          <w:b/>
          <w:bCs/>
        </w:rPr>
        <w:t>严格落实责任体系。</w:t>
      </w:r>
      <w:r>
        <w:rPr>
          <w:rFonts w:hint="eastAsia"/>
        </w:rPr>
        <w:t>发挥政府的主导和监管作用，继续推行环境保护监督管理“一岗双责”、“党政同责”，完善生态环境保护责任清单。压实部门协同治理责任，坚持“管发展必须管环保、管生产必须管环保、管行业必须管环保”的工作责任体系。全面压实生态环境保护督察整改工作责任，不断健全完善督察整改工作机制，全面落实整改任务。</w:t>
      </w:r>
    </w:p>
    <w:p>
      <w:pPr>
        <w:ind w:firstLine="562"/>
      </w:pPr>
      <w:r>
        <w:rPr>
          <w:b/>
          <w:bCs/>
        </w:rPr>
        <w:t>强化考核机制。</w:t>
      </w:r>
      <w:r>
        <w:rPr>
          <w:rFonts w:hint="eastAsia"/>
        </w:rPr>
        <w:t>不断完善考核体系，科学开展生态文明建设目标评价考核，加强考核结果运用，注重激励与约束并举，</w:t>
      </w:r>
      <w:r>
        <w:t>引导形成落实生态优先、绿色低碳发展的政绩导向。</w:t>
      </w:r>
    </w:p>
    <w:p>
      <w:pPr>
        <w:widowControl/>
        <w:numPr>
          <w:ilvl w:val="0"/>
          <w:numId w:val="11"/>
        </w:numPr>
        <w:ind w:firstLine="0" w:firstLineChars="0"/>
        <w:jc w:val="center"/>
        <w:outlineLvl w:val="1"/>
        <w:rPr>
          <w:b/>
          <w:bCs/>
          <w:sz w:val="32"/>
          <w:szCs w:val="32"/>
        </w:rPr>
      </w:pPr>
      <w:bookmarkStart w:id="54" w:name="_Toc4047"/>
      <w:r>
        <w:rPr>
          <w:rFonts w:hint="eastAsia"/>
          <w:b/>
          <w:bCs/>
          <w:sz w:val="32"/>
          <w:szCs w:val="32"/>
        </w:rPr>
        <w:t>健全环境治理企业责任体系</w:t>
      </w:r>
      <w:bookmarkEnd w:id="54"/>
    </w:p>
    <w:p>
      <w:pPr>
        <w:ind w:firstLine="562"/>
      </w:pPr>
      <w:r>
        <w:rPr>
          <w:rFonts w:hint="eastAsia"/>
          <w:b/>
          <w:bCs/>
        </w:rPr>
        <w:t>严格落实排污许可制度。</w:t>
      </w:r>
      <w:r>
        <w:rPr>
          <w:rFonts w:hint="eastAsia"/>
        </w:rPr>
        <w:t>完成所有固定污染源排污许可证核发，持续做好排污许可证换证或登记延续动态更新，落实排污许可“一证式”管理，实施固定污染源全过程管理和多污染物协同控制，建立以排污许可证为主要依据的生态环境日常执法监督工作体系，构建以排污许可制为核心的固定污染源监管制度体系。推动总量控制、生态环境统计、生态环境监测、生态环境执法等生态环境管理制度衔接，实现重点行业环境影响评价、排污许可、监管执法全闭环管理。</w:t>
      </w:r>
    </w:p>
    <w:p>
      <w:pPr>
        <w:ind w:firstLine="562"/>
      </w:pPr>
      <w:r>
        <w:rPr>
          <w:rFonts w:hint="eastAsia"/>
          <w:b/>
          <w:bCs/>
        </w:rPr>
        <w:t>落实生态环境损害赔偿制度。</w:t>
      </w:r>
      <w:r>
        <w:rPr>
          <w:rFonts w:hint="eastAsia"/>
          <w:lang w:val="en-US" w:eastAsia="zh-CN"/>
        </w:rPr>
        <w:t>落实</w:t>
      </w:r>
      <w:r>
        <w:rPr>
          <w:rFonts w:hint="eastAsia"/>
        </w:rPr>
        <w:t>哈密市生态环境损害赔偿制度，按照自治区、哈密市的安排部署，探索</w:t>
      </w:r>
      <w:r>
        <w:rPr>
          <w:rFonts w:hint="eastAsia"/>
          <w:lang w:val="en-US" w:eastAsia="zh-CN"/>
        </w:rPr>
        <w:t>开展</w:t>
      </w:r>
      <w:r>
        <w:rPr>
          <w:rFonts w:hint="eastAsia"/>
        </w:rPr>
        <w:t>县域范围内生态损害赔偿。</w:t>
      </w:r>
    </w:p>
    <w:p>
      <w:pPr>
        <w:widowControl/>
        <w:ind w:firstLine="562"/>
        <w:jc w:val="left"/>
      </w:pPr>
      <w:r>
        <w:rPr>
          <w:rFonts w:hint="eastAsia"/>
          <w:b/>
          <w:bCs/>
        </w:rPr>
        <w:t>完善企业环保信用建设。</w:t>
      </w:r>
      <w:r>
        <w:rPr>
          <w:rFonts w:hint="eastAsia"/>
        </w:rPr>
        <w:t>开展企业环境信用评价，依据评价结果实施分级分类监管。严格落实排污企业黑名单制度，将环境违法企业依法依规纳入失信联合惩戒对象名单，将其违法信息记入信用记录，</w:t>
      </w:r>
    </w:p>
    <w:p>
      <w:pPr>
        <w:ind w:firstLine="0" w:firstLineChars="0"/>
      </w:pPr>
      <w:r>
        <w:rPr>
          <w:rFonts w:hint="eastAsia"/>
        </w:rPr>
        <w:t>依法公开企业环境违法信息，引导公众参与环境监管。强化排污者责任，督促企业在“守信激励、失信惩戒”信用机制约束下，持续改进环境行为，主动加强环境管理，自觉履行环境保护法定义务和社会责任。</w:t>
      </w:r>
    </w:p>
    <w:p>
      <w:pPr>
        <w:widowControl/>
        <w:ind w:firstLine="562"/>
        <w:jc w:val="left"/>
      </w:pPr>
      <w:r>
        <w:rPr>
          <w:rFonts w:hint="eastAsia"/>
          <w:b/>
          <w:bCs/>
        </w:rPr>
        <w:t>推进生产服务绿色化。</w:t>
      </w:r>
      <w:r>
        <w:rPr>
          <w:rFonts w:hint="eastAsia"/>
        </w:rPr>
        <w:t>坚持源头污染防治，培育循环经济示范企业、示范园区，推动产业园区循环化改造，加快传统产业绿色改造升级。加大清洁生产推行力度，对重点企业开展强制性清洁生产审核，依法依规淘汰落后生产工艺。</w:t>
      </w:r>
    </w:p>
    <w:p>
      <w:pPr>
        <w:widowControl/>
        <w:numPr>
          <w:ilvl w:val="0"/>
          <w:numId w:val="11"/>
        </w:numPr>
        <w:ind w:firstLine="0" w:firstLineChars="0"/>
        <w:jc w:val="center"/>
        <w:outlineLvl w:val="1"/>
        <w:rPr>
          <w:b/>
          <w:bCs/>
          <w:sz w:val="32"/>
          <w:szCs w:val="32"/>
        </w:rPr>
      </w:pPr>
      <w:bookmarkStart w:id="55" w:name="_Toc27155"/>
      <w:r>
        <w:rPr>
          <w:rFonts w:hint="eastAsia"/>
          <w:b/>
          <w:bCs/>
          <w:sz w:val="32"/>
          <w:szCs w:val="32"/>
        </w:rPr>
        <w:t>健全环境治理全民行动体系</w:t>
      </w:r>
      <w:bookmarkEnd w:id="55"/>
    </w:p>
    <w:p>
      <w:pPr>
        <w:ind w:firstLine="562"/>
      </w:pPr>
      <w:r>
        <w:rPr>
          <w:b/>
          <w:bCs/>
        </w:rPr>
        <w:t>强化公众监督。</w:t>
      </w:r>
      <w:r>
        <w:rPr>
          <w:rFonts w:hint="eastAsia"/>
        </w:rPr>
        <w:t>加大信息公开力度，推进信访投诉工作机制改革，完善公众监督和举报反馈机制，利用信、访、网、电、微等渠道，充分发挥信访信息“金矿”作用，畅通环保监督渠道。鼓励新闻媒体设立“曝光台”或专栏，对各类破坏生态环境问题、突发环境事件、环境违法行为进行曝光和跟踪。健全环境决策公众参与机制，保障公众的知情权、监督权、参与权。实施生态环境违法行为举报奖励制度，发挥举报奖励的带动示范作用，依法保护举报人合法权益。</w:t>
      </w:r>
    </w:p>
    <w:p>
      <w:pPr>
        <w:ind w:firstLine="562"/>
      </w:pPr>
      <w:r>
        <w:rPr>
          <w:rFonts w:hint="eastAsia"/>
          <w:b/>
          <w:bCs/>
        </w:rPr>
        <w:t>推进生态环保全民行动。</w:t>
      </w:r>
      <w:r>
        <w:rPr>
          <w:rFonts w:hint="eastAsia"/>
        </w:rPr>
        <w:t>工会、共青团、妇联等群团组织积极动员广大职工、青年、妇女参与生态环境保护，引导公民自觉履行环境保护责任。各级各类行业协会、商会发挥桥梁纽带作用，引导企业技术进步和绿色发展。加强对环保组织的管理和指导，引导具备资格的社会组织依法开展生态环境公益诉讼等活动。</w:t>
      </w:r>
    </w:p>
    <w:p>
      <w:pPr>
        <w:ind w:firstLine="562"/>
      </w:pPr>
      <w:r>
        <w:rPr>
          <w:b/>
          <w:bCs/>
        </w:rPr>
        <w:t>增强全社会生态文明意识。</w:t>
      </w:r>
      <w:r>
        <w:t>宣传贯彻习近平生态文明思想，普及全民环境保护法律法规和环境保护知识。深入推动绿色低碳生活创建行动和</w:t>
      </w:r>
      <w:r>
        <w:rPr>
          <w:rFonts w:hint="eastAsia"/>
        </w:rPr>
        <w:t>“</w:t>
      </w:r>
      <w:r>
        <w:t>美丽中国我是行动者</w:t>
      </w:r>
      <w:r>
        <w:rPr>
          <w:rFonts w:hint="eastAsia"/>
        </w:rPr>
        <w:t>”“</w:t>
      </w:r>
      <w:r>
        <w:t>全国低碳日</w:t>
      </w:r>
      <w:r>
        <w:rPr>
          <w:rFonts w:hint="eastAsia"/>
        </w:rPr>
        <w:t>”</w:t>
      </w:r>
      <w:r>
        <w:t>等主题实践活动，积极开展垃圾分类，倡导绿色出行、绿色消费，推动全民在衣、食、住、行、游等各方面向简约适度、绿色低碳、文明健康的方式转变，引导全民自觉履行环境保护责任。</w:t>
      </w:r>
    </w:p>
    <w:p>
      <w:pPr>
        <w:widowControl/>
        <w:numPr>
          <w:ilvl w:val="0"/>
          <w:numId w:val="11"/>
        </w:numPr>
        <w:ind w:firstLine="0" w:firstLineChars="0"/>
        <w:jc w:val="center"/>
        <w:outlineLvl w:val="1"/>
        <w:rPr>
          <w:b/>
          <w:bCs/>
          <w:sz w:val="32"/>
          <w:szCs w:val="32"/>
        </w:rPr>
      </w:pPr>
      <w:bookmarkStart w:id="56" w:name="_Toc17807"/>
      <w:r>
        <w:rPr>
          <w:rFonts w:hint="eastAsia"/>
          <w:b/>
          <w:bCs/>
          <w:sz w:val="32"/>
          <w:szCs w:val="32"/>
        </w:rPr>
        <w:t>健全环境治理监管体系</w:t>
      </w:r>
      <w:bookmarkEnd w:id="56"/>
    </w:p>
    <w:p>
      <w:pPr>
        <w:ind w:firstLine="562"/>
      </w:pPr>
      <w:r>
        <w:rPr>
          <w:b/>
          <w:bCs/>
        </w:rPr>
        <w:t>强化监测管理。</w:t>
      </w:r>
      <w:r>
        <w:t>落实</w:t>
      </w:r>
      <w:r>
        <w:rPr>
          <w:rFonts w:hint="eastAsia"/>
        </w:rPr>
        <w:t>“</w:t>
      </w:r>
      <w:r>
        <w:t>谁考核、谁监测</w:t>
      </w:r>
      <w:r>
        <w:rPr>
          <w:rFonts w:hint="eastAsia"/>
        </w:rPr>
        <w:t>”</w:t>
      </w:r>
      <w:r>
        <w:t>要求，不断完善生态环境监测体系，全面提升监测自动化、标准化、信息化水平。加强监测数据质量监督管理，严惩监测数据造假，确保监测数据</w:t>
      </w:r>
      <w:r>
        <w:rPr>
          <w:rFonts w:hint="eastAsia"/>
        </w:rPr>
        <w:t>“</w:t>
      </w:r>
      <w:r>
        <w:t>真、准、全</w:t>
      </w:r>
      <w:r>
        <w:rPr>
          <w:rFonts w:hint="eastAsia"/>
        </w:rPr>
        <w:t>”</w:t>
      </w:r>
      <w:r>
        <w:t>。提升生态环境监测信息化水平，推进各类监测数据的统一存储和统一管理，实现数据共享、信息交换和业务协同。</w:t>
      </w:r>
    </w:p>
    <w:p>
      <w:pPr>
        <w:widowControl/>
        <w:ind w:firstLine="562"/>
        <w:jc w:val="left"/>
      </w:pPr>
      <w:r>
        <w:rPr>
          <w:b/>
          <w:bCs/>
        </w:rPr>
        <w:t>加强司法保障。</w:t>
      </w:r>
      <w:r>
        <w:t>与公安机关、检察机关、审判机关、行政执法机关不断完善线索通报、联合调查、案件查处、案件移送、受害人权益保护、资源共享和信息发布的法律保障工作机制，实现生态环境保护行政执法与刑事司法、法律救济的无缝衔接。落实生态环境损害赔偿制度，加强案例线索筛查、重大案件追踪办理和修复效果评估。</w:t>
      </w:r>
    </w:p>
    <w:p>
      <w:pPr>
        <w:ind w:firstLine="0" w:firstLineChars="0"/>
        <w:sectPr>
          <w:pgSz w:w="11906" w:h="16838"/>
          <w:pgMar w:top="1440" w:right="1800" w:bottom="1440" w:left="1800" w:header="851" w:footer="992" w:gutter="0"/>
          <w:cols w:space="425" w:num="1"/>
          <w:docGrid w:type="lines" w:linePitch="312" w:charSpace="0"/>
        </w:sectPr>
      </w:pPr>
    </w:p>
    <w:p>
      <w:pPr>
        <w:pStyle w:val="3"/>
        <w:ind w:firstLine="0" w:firstLineChars="0"/>
        <w:jc w:val="center"/>
        <w:rPr>
          <w:sz w:val="32"/>
          <w:szCs w:val="32"/>
        </w:rPr>
      </w:pPr>
      <w:bookmarkStart w:id="57" w:name="_Toc6517"/>
      <w:r>
        <w:rPr>
          <w:rFonts w:hint="eastAsia"/>
          <w:sz w:val="32"/>
          <w:szCs w:val="32"/>
        </w:rPr>
        <w:t>第十三章 建立规划实施保障机制</w:t>
      </w:r>
      <w:bookmarkEnd w:id="57"/>
    </w:p>
    <w:p>
      <w:pPr>
        <w:widowControl/>
        <w:numPr>
          <w:ilvl w:val="0"/>
          <w:numId w:val="12"/>
        </w:numPr>
        <w:ind w:firstLine="0" w:firstLineChars="0"/>
        <w:jc w:val="center"/>
        <w:outlineLvl w:val="1"/>
        <w:rPr>
          <w:b/>
          <w:bCs/>
          <w:sz w:val="32"/>
          <w:szCs w:val="32"/>
        </w:rPr>
      </w:pPr>
      <w:bookmarkStart w:id="58" w:name="_Toc15142"/>
      <w:r>
        <w:rPr>
          <w:rFonts w:hint="eastAsia"/>
          <w:b/>
          <w:bCs/>
          <w:sz w:val="32"/>
          <w:szCs w:val="32"/>
        </w:rPr>
        <w:t>加强组织领导</w:t>
      </w:r>
      <w:bookmarkEnd w:id="58"/>
    </w:p>
    <w:p>
      <w:pPr>
        <w:widowControl/>
        <w:ind w:firstLine="560"/>
        <w:jc w:val="left"/>
        <w:rPr>
          <w:color w:val="000000"/>
        </w:rPr>
      </w:pPr>
      <w:r>
        <w:rPr>
          <w:rFonts w:hint="eastAsia"/>
        </w:rPr>
        <w:t>强化生态文明建设和生态环境保护的政治责任，坚持绿色发展理念，始终把生态建设作为工作重心，加强对规划实施的组织领导。</w:t>
      </w:r>
      <w:r>
        <w:t>贯彻落实自治区党委的统一部署，严格落实</w:t>
      </w:r>
      <w:r>
        <w:rPr>
          <w:rFonts w:hint="eastAsia"/>
        </w:rPr>
        <w:t>“</w:t>
      </w:r>
      <w:r>
        <w:t>党政同责</w:t>
      </w:r>
      <w:r>
        <w:rPr>
          <w:rFonts w:hint="eastAsia"/>
        </w:rPr>
        <w:t>”“</w:t>
      </w:r>
      <w:r>
        <w:t>一岗双责</w:t>
      </w:r>
      <w:r>
        <w:rPr>
          <w:rFonts w:hint="eastAsia"/>
        </w:rPr>
        <w:t>”</w:t>
      </w:r>
      <w:r>
        <w:t>。</w:t>
      </w:r>
      <w:r>
        <w:rPr>
          <w:rFonts w:hint="eastAsia"/>
          <w:color w:val="000000"/>
        </w:rPr>
        <w:t>落实县、乡镇各级第一责任人，明确生态环境保护工作责任体系，细化各相关部门生态环境保护责任清单，切实履行生态环境保护职责。</w:t>
      </w:r>
    </w:p>
    <w:p>
      <w:pPr>
        <w:widowControl/>
        <w:numPr>
          <w:ilvl w:val="0"/>
          <w:numId w:val="12"/>
        </w:numPr>
        <w:ind w:firstLine="0" w:firstLineChars="0"/>
        <w:jc w:val="center"/>
        <w:outlineLvl w:val="1"/>
        <w:rPr>
          <w:b/>
          <w:bCs/>
          <w:sz w:val="32"/>
          <w:szCs w:val="32"/>
        </w:rPr>
      </w:pPr>
      <w:bookmarkStart w:id="59" w:name="_Toc19607"/>
      <w:r>
        <w:rPr>
          <w:rFonts w:hint="eastAsia"/>
          <w:b/>
          <w:bCs/>
          <w:sz w:val="32"/>
          <w:szCs w:val="32"/>
        </w:rPr>
        <w:t>加大资金投入</w:t>
      </w:r>
      <w:bookmarkEnd w:id="59"/>
    </w:p>
    <w:p>
      <w:pPr>
        <w:ind w:firstLine="560"/>
      </w:pPr>
      <w:r>
        <w:rPr>
          <w:rFonts w:hint="eastAsia"/>
        </w:rPr>
        <w:t>加强财政预算与规划实施的衔接协调，财政性资金优先投向规划确定的重大任务和重大工程项目，推动有重大示范带动效益、操作性强的重点工程建设，有力支撑各项环保规划目标任务实现。拓宽融资渠道，引导和鼓励金融机构重点支持资源节约型、环境友好型企业和项目。综合运用土地、规划、金融、价格多种政策引导社会资本投入。积极推行政府和社会资本合作，吸引社会资本参与公益性环境保护项目。</w:t>
      </w:r>
    </w:p>
    <w:p>
      <w:pPr>
        <w:widowControl/>
        <w:numPr>
          <w:ilvl w:val="0"/>
          <w:numId w:val="12"/>
        </w:numPr>
        <w:ind w:firstLine="0" w:firstLineChars="0"/>
        <w:jc w:val="center"/>
        <w:outlineLvl w:val="1"/>
        <w:rPr>
          <w:b/>
          <w:bCs/>
          <w:sz w:val="32"/>
          <w:szCs w:val="32"/>
        </w:rPr>
      </w:pPr>
      <w:bookmarkStart w:id="60" w:name="_Toc2215"/>
      <w:r>
        <w:rPr>
          <w:rFonts w:hint="eastAsia"/>
          <w:b/>
          <w:bCs/>
          <w:sz w:val="32"/>
          <w:szCs w:val="32"/>
          <w:lang w:val="en-US" w:eastAsia="zh-CN"/>
        </w:rPr>
        <w:t>增强</w:t>
      </w:r>
      <w:r>
        <w:rPr>
          <w:rFonts w:hint="eastAsia"/>
          <w:b/>
          <w:bCs/>
          <w:sz w:val="32"/>
          <w:szCs w:val="32"/>
        </w:rPr>
        <w:t>宣传引导</w:t>
      </w:r>
      <w:bookmarkEnd w:id="60"/>
    </w:p>
    <w:p>
      <w:pPr>
        <w:ind w:firstLine="560"/>
      </w:pPr>
      <w:r>
        <w:rPr>
          <w:rFonts w:hint="eastAsia"/>
        </w:rPr>
        <w:t>大力开展生态文明建设的舆论宣传，使公众深入了解规划确定的目标任务、方针政策和措施，保证公众知情权和发言权，在全社会形成了解规划、关心规划、自觉参与规划实施的氛围。畅通监督渠道，落实举报奖励及处理反馈机制，邀请公众或社会团体参与重要环保执法行动、重大污染事件调查，发挥社会各界对生态环境工作的监督作用，全面推进规划的落地实施。</w:t>
      </w:r>
    </w:p>
    <w:p>
      <w:pPr>
        <w:widowControl/>
        <w:ind w:firstLine="0" w:firstLineChars="0"/>
        <w:jc w:val="center"/>
        <w:outlineLvl w:val="1"/>
        <w:rPr>
          <w:b/>
          <w:bCs/>
          <w:sz w:val="32"/>
          <w:szCs w:val="32"/>
        </w:rPr>
      </w:pPr>
      <w:bookmarkStart w:id="61" w:name="_Toc18302"/>
      <w:r>
        <w:rPr>
          <w:rFonts w:hint="eastAsia"/>
          <w:b/>
          <w:bCs/>
          <w:sz w:val="32"/>
          <w:szCs w:val="32"/>
        </w:rPr>
        <w:t>第四节 强化绩效评估考核</w:t>
      </w:r>
      <w:bookmarkEnd w:id="61"/>
    </w:p>
    <w:p>
      <w:pPr>
        <w:ind w:firstLine="560"/>
        <w:sectPr>
          <w:pgSz w:w="11906" w:h="16838"/>
          <w:pgMar w:top="1440" w:right="1800" w:bottom="1440" w:left="1800" w:header="851" w:footer="992" w:gutter="0"/>
          <w:cols w:space="425" w:num="1"/>
          <w:docGrid w:type="lines" w:linePitch="312" w:charSpace="0"/>
        </w:sectPr>
      </w:pPr>
      <w:r>
        <w:t>切实落实政府环境保护职责，</w:t>
      </w:r>
      <w:r>
        <w:rPr>
          <w:rFonts w:hint="eastAsia"/>
        </w:rPr>
        <w:t>完善</w:t>
      </w:r>
      <w:r>
        <w:t>规划考核、监督机制。加强</w:t>
      </w:r>
      <w:r>
        <w:rPr>
          <w:rFonts w:hint="eastAsia"/>
        </w:rPr>
        <w:t>“</w:t>
      </w:r>
      <w:r>
        <w:t>十</w:t>
      </w:r>
      <w:r>
        <w:rPr>
          <w:rFonts w:hint="eastAsia"/>
        </w:rPr>
        <w:t>四</w:t>
      </w:r>
      <w:r>
        <w:t>五</w:t>
      </w:r>
      <w:r>
        <w:rPr>
          <w:rFonts w:hint="eastAsia"/>
        </w:rPr>
        <w:t>”生态</w:t>
      </w:r>
      <w:r>
        <w:t>环境保护规划的评估，</w:t>
      </w:r>
      <w:r>
        <w:rPr>
          <w:rFonts w:hint="eastAsia"/>
        </w:rPr>
        <w:t>将规划目标、任务、重点工程进展情况纳入年度污染防治攻坚战绩效考核，</w:t>
      </w:r>
      <w:r>
        <w:t>保障规划的落地实施。</w:t>
      </w:r>
    </w:p>
    <w:p>
      <w:pPr>
        <w:keepNext/>
        <w:keepLines/>
        <w:ind w:firstLine="0" w:firstLineChars="0"/>
        <w:jc w:val="center"/>
        <w:outlineLvl w:val="0"/>
        <w:rPr>
          <w:b/>
          <w:bCs/>
          <w:sz w:val="32"/>
          <w:szCs w:val="32"/>
        </w:rPr>
      </w:pPr>
      <w:bookmarkStart w:id="62" w:name="_Toc9557"/>
      <w:r>
        <w:rPr>
          <w:rFonts w:hint="eastAsia"/>
          <w:b/>
          <w:bCs/>
          <w:sz w:val="32"/>
          <w:szCs w:val="32"/>
        </w:rPr>
        <w:t>附件一  重大工程</w:t>
      </w:r>
      <w:bookmarkEnd w:id="62"/>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000" w:type="pct"/>
          </w:tcPr>
          <w:p>
            <w:pPr>
              <w:ind w:firstLine="0" w:firstLineChars="0"/>
              <w:jc w:val="center"/>
              <w:rPr>
                <w:rFonts w:ascii="黑体" w:hAnsi="黑体" w:eastAsia="黑体"/>
                <w:b/>
                <w:color w:val="000000"/>
                <w:szCs w:val="30"/>
              </w:rPr>
            </w:pPr>
            <w:r>
              <w:rPr>
                <w:rFonts w:hint="eastAsia"/>
                <w:b/>
                <w:bCs/>
              </w:rPr>
              <w:t>重大工程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pPr>
              <w:ind w:firstLine="482"/>
              <w:rPr>
                <w:b/>
                <w:bCs/>
                <w:sz w:val="24"/>
                <w:szCs w:val="22"/>
              </w:rPr>
            </w:pPr>
            <w:r>
              <w:rPr>
                <w:rFonts w:hint="eastAsia"/>
                <w:b/>
                <w:bCs/>
                <w:sz w:val="24"/>
                <w:szCs w:val="22"/>
              </w:rPr>
              <w:t>一、绿色低碳发展重点工程：</w:t>
            </w:r>
          </w:p>
          <w:p>
            <w:pPr>
              <w:ind w:firstLine="480"/>
              <w:rPr>
                <w:sz w:val="24"/>
                <w:szCs w:val="22"/>
              </w:rPr>
            </w:pPr>
            <w:r>
              <w:rPr>
                <w:rFonts w:hint="eastAsia"/>
                <w:sz w:val="24"/>
                <w:szCs w:val="22"/>
              </w:rPr>
              <w:t>1、清洁能源重点工程。疆电外送“第三通道”配套新能源项目</w:t>
            </w:r>
            <w:r>
              <w:rPr>
                <w:rFonts w:hint="eastAsia"/>
                <w:sz w:val="24"/>
                <w:szCs w:val="22"/>
                <w:lang w:eastAsia="zh-CN"/>
              </w:rPr>
              <w:t>；</w:t>
            </w:r>
            <w:r>
              <w:rPr>
                <w:rFonts w:hint="eastAsia"/>
                <w:sz w:val="24"/>
                <w:szCs w:val="22"/>
              </w:rPr>
              <w:t>市场化并网项目。</w:t>
            </w:r>
          </w:p>
          <w:p>
            <w:pPr>
              <w:ind w:firstLine="480"/>
              <w:rPr>
                <w:sz w:val="24"/>
                <w:szCs w:val="22"/>
              </w:rPr>
            </w:pPr>
            <w:r>
              <w:rPr>
                <w:rFonts w:hint="eastAsia"/>
                <w:sz w:val="24"/>
                <w:szCs w:val="22"/>
              </w:rPr>
              <w:t>2、推动货物运输结构调整工程。将军庙—淖毛湖铁路建设项目（淖毛湖段）等。</w:t>
            </w:r>
          </w:p>
          <w:p>
            <w:pPr>
              <w:ind w:firstLine="480"/>
              <w:rPr>
                <w:sz w:val="24"/>
                <w:szCs w:val="22"/>
              </w:rPr>
            </w:pPr>
            <w:r>
              <w:rPr>
                <w:rFonts w:hint="eastAsia"/>
                <w:sz w:val="24"/>
                <w:szCs w:val="22"/>
              </w:rPr>
              <w:t>3、重点产业提升工程。新疆宣东能源有限公司1000万吨/年煤炭分质综合利用项目。</w:t>
            </w:r>
          </w:p>
          <w:p>
            <w:pPr>
              <w:ind w:firstLine="482"/>
              <w:rPr>
                <w:b/>
                <w:bCs/>
                <w:sz w:val="24"/>
                <w:szCs w:val="22"/>
              </w:rPr>
            </w:pPr>
            <w:r>
              <w:rPr>
                <w:rFonts w:hint="eastAsia"/>
                <w:b/>
                <w:bCs/>
                <w:sz w:val="24"/>
                <w:szCs w:val="22"/>
              </w:rPr>
              <w:t>二、应对气候变化重点工程：</w:t>
            </w:r>
          </w:p>
          <w:p>
            <w:pPr>
              <w:ind w:firstLine="480"/>
              <w:rPr>
                <w:sz w:val="24"/>
                <w:szCs w:val="22"/>
              </w:rPr>
            </w:pPr>
            <w:r>
              <w:rPr>
                <w:rFonts w:hint="eastAsia"/>
                <w:sz w:val="24"/>
                <w:szCs w:val="22"/>
              </w:rPr>
              <w:t>新疆广汇碳科技综合利用有限公司10万吨/年二氧化碳捕集与利用示范项目。</w:t>
            </w:r>
          </w:p>
          <w:p>
            <w:pPr>
              <w:ind w:firstLine="482"/>
              <w:rPr>
                <w:b/>
                <w:bCs/>
                <w:sz w:val="24"/>
                <w:szCs w:val="22"/>
              </w:rPr>
            </w:pPr>
            <w:r>
              <w:rPr>
                <w:rFonts w:hint="eastAsia"/>
                <w:b/>
                <w:bCs/>
                <w:sz w:val="24"/>
                <w:szCs w:val="22"/>
              </w:rPr>
              <w:t>三、水生态环境提升重大工程</w:t>
            </w:r>
          </w:p>
          <w:p>
            <w:pPr>
              <w:ind w:firstLine="480"/>
              <w:rPr>
                <w:rFonts w:eastAsia="仿宋_GB2312"/>
                <w:bCs/>
                <w:color w:val="000000"/>
                <w:kern w:val="0"/>
                <w:sz w:val="24"/>
              </w:rPr>
            </w:pPr>
            <w:r>
              <w:rPr>
                <w:rFonts w:hint="eastAsia" w:eastAsia="仿宋_GB2312"/>
                <w:bCs/>
                <w:color w:val="000000"/>
                <w:kern w:val="0"/>
                <w:sz w:val="24"/>
              </w:rPr>
              <w:t>伊吾河生态修复工程项目。</w:t>
            </w:r>
          </w:p>
          <w:p>
            <w:pPr>
              <w:numPr>
                <w:ilvl w:val="0"/>
                <w:numId w:val="13"/>
              </w:numPr>
              <w:ind w:firstLine="482"/>
              <w:rPr>
                <w:b/>
                <w:bCs/>
                <w:sz w:val="24"/>
                <w:szCs w:val="22"/>
              </w:rPr>
            </w:pPr>
            <w:r>
              <w:rPr>
                <w:rFonts w:hint="eastAsia"/>
                <w:b/>
                <w:bCs/>
                <w:sz w:val="24"/>
                <w:szCs w:val="22"/>
              </w:rPr>
              <w:t>土壤、地下水污染治理和农村环境治理重大工程</w:t>
            </w:r>
          </w:p>
          <w:p>
            <w:pPr>
              <w:pStyle w:val="8"/>
              <w:adjustRightInd w:val="0"/>
              <w:snapToGrid w:val="0"/>
              <w:ind w:firstLine="480"/>
              <w:jc w:val="left"/>
              <w:rPr>
                <w:rFonts w:ascii="Times New Roman" w:hAnsi="Times New Roman" w:eastAsia="仿宋_GB2312"/>
                <w:bCs/>
                <w:color w:val="000000"/>
                <w:kern w:val="0"/>
                <w:sz w:val="24"/>
                <w:szCs w:val="24"/>
              </w:rPr>
            </w:pPr>
            <w:r>
              <w:rPr>
                <w:rFonts w:hint="eastAsia" w:ascii="Times New Roman" w:hAnsi="Times New Roman" w:eastAsia="仿宋_GB2312"/>
                <w:bCs/>
                <w:color w:val="000000"/>
                <w:kern w:val="0"/>
                <w:sz w:val="24"/>
                <w:szCs w:val="24"/>
              </w:rPr>
              <w:t>1、农村环境基础设施建设工程。伊吾县吐葫芦乡甘沟村、泉脑村污水处理项目；伊吾县苇子峡乡污水集中处理项目；伊吾县农村生活污水处理工程建设项目；伊吾县农村人居环境整治项目。</w:t>
            </w:r>
          </w:p>
          <w:p>
            <w:pPr>
              <w:pStyle w:val="8"/>
              <w:adjustRightInd w:val="0"/>
              <w:snapToGrid w:val="0"/>
              <w:ind w:firstLine="480"/>
              <w:jc w:val="left"/>
              <w:rPr>
                <w:rFonts w:ascii="Times New Roman" w:hAnsi="Times New Roman" w:eastAsia="仿宋_GB2312"/>
                <w:bCs/>
                <w:color w:val="000000"/>
                <w:kern w:val="0"/>
                <w:sz w:val="24"/>
                <w:szCs w:val="24"/>
              </w:rPr>
            </w:pPr>
            <w:r>
              <w:rPr>
                <w:rFonts w:hint="eastAsia" w:ascii="Times New Roman" w:hAnsi="Times New Roman" w:eastAsia="仿宋_GB2312"/>
                <w:bCs/>
                <w:color w:val="000000"/>
                <w:kern w:val="0"/>
                <w:sz w:val="24"/>
                <w:szCs w:val="24"/>
              </w:rPr>
              <w:t>2、土壤、地下水污染源治理工程。哈密市伊吾县工业园区地下水污染防治监测网建设项目。</w:t>
            </w:r>
          </w:p>
          <w:p>
            <w:pPr>
              <w:numPr>
                <w:ilvl w:val="0"/>
                <w:numId w:val="13"/>
              </w:numPr>
              <w:ind w:firstLine="482"/>
              <w:rPr>
                <w:b/>
                <w:bCs/>
                <w:sz w:val="24"/>
                <w:szCs w:val="22"/>
              </w:rPr>
            </w:pPr>
            <w:r>
              <w:rPr>
                <w:rFonts w:hint="eastAsia"/>
                <w:b/>
                <w:bCs/>
                <w:sz w:val="24"/>
                <w:szCs w:val="22"/>
              </w:rPr>
              <w:t>生态保护与修复重大工程</w:t>
            </w:r>
          </w:p>
          <w:p>
            <w:pPr>
              <w:ind w:firstLine="480"/>
              <w:rPr>
                <w:color w:val="000000"/>
                <w:sz w:val="24"/>
              </w:rPr>
            </w:pPr>
            <w:r>
              <w:rPr>
                <w:rFonts w:hint="eastAsia"/>
                <w:color w:val="000000"/>
                <w:sz w:val="24"/>
              </w:rPr>
              <w:t>1、重要生态系统恢复治理工程。东天山生态环境保护和修复；伊吾县淖毛湖镇两个砂坑生态环境保护与恢复治理项目；伊吾县全域生态保护修复治理工程。</w:t>
            </w:r>
          </w:p>
          <w:p>
            <w:pPr>
              <w:ind w:firstLine="480"/>
              <w:rPr>
                <w:color w:val="000000"/>
                <w:sz w:val="24"/>
              </w:rPr>
            </w:pPr>
            <w:r>
              <w:rPr>
                <w:rFonts w:hint="eastAsia"/>
                <w:color w:val="000000"/>
                <w:sz w:val="24"/>
              </w:rPr>
              <w:t>2、国土绿化工程</w:t>
            </w:r>
            <w:r>
              <w:rPr>
                <w:rFonts w:hint="eastAsia"/>
                <w:b/>
                <w:bCs/>
                <w:color w:val="000000"/>
                <w:sz w:val="24"/>
              </w:rPr>
              <w:t>。</w:t>
            </w:r>
            <w:r>
              <w:rPr>
                <w:rFonts w:hint="eastAsia"/>
                <w:color w:val="000000"/>
                <w:sz w:val="24"/>
              </w:rPr>
              <w:t>伊吾县淖毛湖镇绿化建设项目；哈密市伊吾县淖毛湖镇道路两侧及风光基地绿化工程项目。</w:t>
            </w:r>
          </w:p>
          <w:p>
            <w:pPr>
              <w:numPr>
                <w:ilvl w:val="0"/>
                <w:numId w:val="13"/>
              </w:numPr>
              <w:ind w:firstLine="482"/>
              <w:rPr>
                <w:b/>
                <w:bCs/>
                <w:sz w:val="24"/>
                <w:szCs w:val="22"/>
              </w:rPr>
            </w:pPr>
            <w:r>
              <w:rPr>
                <w:rFonts w:hint="eastAsia"/>
                <w:b/>
                <w:bCs/>
                <w:sz w:val="24"/>
                <w:szCs w:val="22"/>
              </w:rPr>
              <w:t>强化风险防范重大工程</w:t>
            </w:r>
          </w:p>
          <w:p>
            <w:pPr>
              <w:ind w:firstLine="480"/>
              <w:rPr>
                <w:sz w:val="24"/>
                <w:szCs w:val="22"/>
              </w:rPr>
            </w:pPr>
            <w:r>
              <w:rPr>
                <w:rFonts w:hint="eastAsia" w:eastAsia="仿宋_GB2312"/>
                <w:bCs/>
                <w:color w:val="000000"/>
                <w:kern w:val="0"/>
                <w:sz w:val="24"/>
              </w:rPr>
              <w:t>1、环境应急响应体系能力提升工程。</w:t>
            </w:r>
            <w:r>
              <w:rPr>
                <w:rFonts w:hint="eastAsia"/>
                <w:sz w:val="24"/>
                <w:szCs w:val="22"/>
              </w:rPr>
              <w:t>伊吾县应急物资储备库建设项目。</w:t>
            </w:r>
          </w:p>
          <w:p>
            <w:pPr>
              <w:ind w:firstLine="480"/>
              <w:rPr>
                <w:sz w:val="24"/>
                <w:szCs w:val="22"/>
              </w:rPr>
            </w:pPr>
            <w:r>
              <w:rPr>
                <w:rFonts w:hint="eastAsia" w:eastAsia="仿宋_GB2312"/>
                <w:bCs/>
                <w:color w:val="000000"/>
                <w:kern w:val="0"/>
                <w:sz w:val="24"/>
              </w:rPr>
              <w:t>2、</w:t>
            </w:r>
            <w:r>
              <w:rPr>
                <w:rFonts w:eastAsia="仿宋_GB2312"/>
                <w:bCs/>
                <w:color w:val="000000"/>
                <w:kern w:val="0"/>
                <w:sz w:val="24"/>
              </w:rPr>
              <w:t>工业固体废物污染防治重点工程</w:t>
            </w:r>
            <w:r>
              <w:rPr>
                <w:rFonts w:hint="eastAsia" w:eastAsia="仿宋_GB2312"/>
                <w:bCs/>
                <w:color w:val="000000"/>
                <w:kern w:val="0"/>
                <w:sz w:val="24"/>
              </w:rPr>
              <w:t>。</w:t>
            </w:r>
            <w:r>
              <w:rPr>
                <w:rFonts w:hint="eastAsia"/>
                <w:sz w:val="24"/>
                <w:szCs w:val="22"/>
              </w:rPr>
              <w:t>新疆山之源环保有限公司危废、固废收集、贮存与无害化处置项目；新疆宣东能源有限公司50万吨/年危废煤焦油提质改造项目。</w:t>
            </w:r>
          </w:p>
          <w:p>
            <w:pPr>
              <w:numPr>
                <w:ilvl w:val="0"/>
                <w:numId w:val="13"/>
              </w:numPr>
              <w:ind w:firstLine="482"/>
              <w:rPr>
                <w:b/>
                <w:bCs/>
                <w:sz w:val="24"/>
                <w:szCs w:val="22"/>
              </w:rPr>
            </w:pPr>
            <w:r>
              <w:rPr>
                <w:rFonts w:hint="eastAsia"/>
                <w:b/>
                <w:bCs/>
                <w:sz w:val="24"/>
                <w:szCs w:val="22"/>
              </w:rPr>
              <w:t>环境监管基础能力提升重大工程</w:t>
            </w:r>
          </w:p>
          <w:p>
            <w:pPr>
              <w:ind w:firstLine="480"/>
            </w:pPr>
            <w:r>
              <w:rPr>
                <w:rFonts w:hint="eastAsia" w:eastAsia="仿宋_GB2312"/>
                <w:bCs/>
                <w:color w:val="000000"/>
                <w:kern w:val="0"/>
                <w:sz w:val="24"/>
              </w:rPr>
              <w:t>展伊吾县工业园区“智慧园区”—“智慧环保”平台项目建设。</w:t>
            </w:r>
          </w:p>
        </w:tc>
      </w:tr>
    </w:tbl>
    <w:p>
      <w:pPr>
        <w:ind w:firstLine="0" w:firstLineChars="0"/>
      </w:pPr>
    </w:p>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posOffset>2502535</wp:posOffset>
              </wp:positionH>
              <wp:positionV relativeFrom="paragraph">
                <wp:posOffset>1905</wp:posOffset>
              </wp:positionV>
              <wp:extent cx="572770" cy="23749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572947" cy="23728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05pt;margin-top:0.15pt;height:18.7pt;width:45.1pt;mso-position-horizontal-relative:margin;z-index:251659264;mso-width-relative:page;mso-height-relative:page;" filled="f" stroked="f" coordsize="21600,21600" o:gfxdata="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PuGg1AAAAAcBAAAPAAAAAAAAAAEAIAAAACIAAABkcnMvZG93bnJldi54bWxQSwEC&#10;FAAUAAAACACHTuJAI4MvrDECAABVBAAADgAAAAAAAAABACAAAAAjAQAAZHJzL2Uyb0RvYy54bWxQ&#10;SwUGAAAAAAYABgBZAQAAxgUAAAAA&#10;">
              <v:fill on="f" focussize="0,0"/>
              <v:stroke on="f" weight="0.5pt"/>
              <v:imagedata o:title=""/>
              <o:lock v:ext="edit" aspectratio="f"/>
              <v:textbox inset="0mm,0mm,0mm,0mm">
                <w:txbxContent>
                  <w:p>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posOffset>2491105</wp:posOffset>
              </wp:positionH>
              <wp:positionV relativeFrom="paragraph">
                <wp:posOffset>1905</wp:posOffset>
              </wp:positionV>
              <wp:extent cx="555625" cy="266065"/>
              <wp:effectExtent l="0" t="0" r="0" b="635"/>
              <wp:wrapNone/>
              <wp:docPr id="2" name="文本框 2"/>
              <wp:cNvGraphicFramePr/>
              <a:graphic xmlns:a="http://schemas.openxmlformats.org/drawingml/2006/main">
                <a:graphicData uri="http://schemas.microsoft.com/office/word/2010/wordprocessingShape">
                  <wps:wsp>
                    <wps:cNvSpPr txBox="1"/>
                    <wps:spPr>
                      <a:xfrm>
                        <a:off x="0" y="0"/>
                        <a:ext cx="555584" cy="2662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5pt;margin-top:0.15pt;height:20.95pt;width:43.75pt;mso-position-horizontal-relative:margin;z-index:251660288;mso-width-relative:page;mso-height-relative:page;" filled="f" stroked="f" coordsize="21600,21600" o:gfxdata="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DHwr1QAAAAcBAAAPAAAAAAAAAAEAIAAAACIAAABkcnMvZG93bnJldi54bWxQSwEC&#10;FAAUAAAACACHTuJAZXcfsTACAABVBAAADgAAAAAAAAABACAAAAAkAQAAZHJzL2Uyb0RvYy54bWxQ&#10;SwUGAAAAAAYABgBZAQAAxgUAAAAA&#10;">
              <v:fill on="f" focussize="0,0"/>
              <v:stroke on="f" weight="0.5pt"/>
              <v:imagedata o:title=""/>
              <o:lock v:ext="edit" aspectratio="f"/>
              <v:textbox inset="0mm,0mm,0mm,0mm">
                <w:txbxContent>
                  <w:p>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CA7DF"/>
    <w:multiLevelType w:val="singleLevel"/>
    <w:tmpl w:val="94CCA7DF"/>
    <w:lvl w:ilvl="0" w:tentative="0">
      <w:start w:val="2"/>
      <w:numFmt w:val="chineseCounting"/>
      <w:suff w:val="space"/>
      <w:lvlText w:val="第%1节"/>
      <w:lvlJc w:val="left"/>
      <w:rPr>
        <w:rFonts w:hint="eastAsia"/>
      </w:rPr>
    </w:lvl>
  </w:abstractNum>
  <w:abstractNum w:abstractNumId="1">
    <w:nsid w:val="9C56EDC7"/>
    <w:multiLevelType w:val="singleLevel"/>
    <w:tmpl w:val="9C56EDC7"/>
    <w:lvl w:ilvl="0" w:tentative="0">
      <w:start w:val="2"/>
      <w:numFmt w:val="chineseCounting"/>
      <w:suff w:val="space"/>
      <w:lvlText w:val="第%1节"/>
      <w:lvlJc w:val="left"/>
      <w:rPr>
        <w:rFonts w:hint="eastAsia"/>
      </w:rPr>
    </w:lvl>
  </w:abstractNum>
  <w:abstractNum w:abstractNumId="2">
    <w:nsid w:val="A1726A75"/>
    <w:multiLevelType w:val="singleLevel"/>
    <w:tmpl w:val="A1726A75"/>
    <w:lvl w:ilvl="0" w:tentative="0">
      <w:start w:val="2"/>
      <w:numFmt w:val="chineseCounting"/>
      <w:suff w:val="space"/>
      <w:lvlText w:val="第%1节"/>
      <w:lvlJc w:val="left"/>
      <w:rPr>
        <w:rFonts w:hint="eastAsia"/>
      </w:rPr>
    </w:lvl>
  </w:abstractNum>
  <w:abstractNum w:abstractNumId="3">
    <w:nsid w:val="B501E50F"/>
    <w:multiLevelType w:val="singleLevel"/>
    <w:tmpl w:val="B501E50F"/>
    <w:lvl w:ilvl="0" w:tentative="0">
      <w:start w:val="1"/>
      <w:numFmt w:val="chineseCounting"/>
      <w:suff w:val="space"/>
      <w:lvlText w:val="第%1节"/>
      <w:lvlJc w:val="left"/>
      <w:rPr>
        <w:rFonts w:hint="eastAsia"/>
      </w:rPr>
    </w:lvl>
  </w:abstractNum>
  <w:abstractNum w:abstractNumId="4">
    <w:nsid w:val="C3E6C403"/>
    <w:multiLevelType w:val="singleLevel"/>
    <w:tmpl w:val="C3E6C403"/>
    <w:lvl w:ilvl="0" w:tentative="0">
      <w:start w:val="4"/>
      <w:numFmt w:val="chineseCounting"/>
      <w:suff w:val="nothing"/>
      <w:lvlText w:val="%1、"/>
      <w:lvlJc w:val="left"/>
      <w:rPr>
        <w:rFonts w:hint="eastAsia"/>
      </w:rPr>
    </w:lvl>
  </w:abstractNum>
  <w:abstractNum w:abstractNumId="5">
    <w:nsid w:val="F134A854"/>
    <w:multiLevelType w:val="singleLevel"/>
    <w:tmpl w:val="F134A854"/>
    <w:lvl w:ilvl="0" w:tentative="0">
      <w:start w:val="2"/>
      <w:numFmt w:val="chineseCounting"/>
      <w:suff w:val="space"/>
      <w:lvlText w:val="第%1节"/>
      <w:lvlJc w:val="left"/>
      <w:rPr>
        <w:rFonts w:hint="eastAsia"/>
      </w:rPr>
    </w:lvl>
  </w:abstractNum>
  <w:abstractNum w:abstractNumId="6">
    <w:nsid w:val="F7317522"/>
    <w:multiLevelType w:val="singleLevel"/>
    <w:tmpl w:val="F7317522"/>
    <w:lvl w:ilvl="0" w:tentative="0">
      <w:start w:val="8"/>
      <w:numFmt w:val="chineseCounting"/>
      <w:suff w:val="space"/>
      <w:lvlText w:val="第%1章"/>
      <w:lvlJc w:val="left"/>
      <w:rPr>
        <w:rFonts w:hint="eastAsia"/>
      </w:rPr>
    </w:lvl>
  </w:abstractNum>
  <w:abstractNum w:abstractNumId="7">
    <w:nsid w:val="F7653E82"/>
    <w:multiLevelType w:val="singleLevel"/>
    <w:tmpl w:val="F7653E82"/>
    <w:lvl w:ilvl="0" w:tentative="0">
      <w:start w:val="2"/>
      <w:numFmt w:val="chineseCounting"/>
      <w:suff w:val="space"/>
      <w:lvlText w:val="第%1节"/>
      <w:lvlJc w:val="left"/>
      <w:rPr>
        <w:rFonts w:hint="eastAsia"/>
      </w:rPr>
    </w:lvl>
  </w:abstractNum>
  <w:abstractNum w:abstractNumId="8">
    <w:nsid w:val="FAA7C620"/>
    <w:multiLevelType w:val="singleLevel"/>
    <w:tmpl w:val="FAA7C620"/>
    <w:lvl w:ilvl="0" w:tentative="0">
      <w:start w:val="2"/>
      <w:numFmt w:val="chineseCounting"/>
      <w:suff w:val="space"/>
      <w:lvlText w:val="第%1节"/>
      <w:lvlJc w:val="left"/>
      <w:rPr>
        <w:rFonts w:hint="eastAsia"/>
      </w:rPr>
    </w:lvl>
  </w:abstractNum>
  <w:abstractNum w:abstractNumId="9">
    <w:nsid w:val="0F385A4D"/>
    <w:multiLevelType w:val="multilevel"/>
    <w:tmpl w:val="0F385A4D"/>
    <w:lvl w:ilvl="0" w:tentative="0">
      <w:start w:val="1"/>
      <w:numFmt w:val="chineseCountingThousand"/>
      <w:suff w:val="space"/>
      <w:lvlText w:val="第%1章"/>
      <w:lvlJc w:val="center"/>
      <w:pPr>
        <w:ind w:left="0" w:firstLine="567"/>
      </w:pPr>
      <w:rPr>
        <w:rFonts w:hint="eastAsia"/>
      </w:rPr>
    </w:lvl>
    <w:lvl w:ilvl="1" w:tentative="0">
      <w:start w:val="1"/>
      <w:numFmt w:val="chineseCountingThousand"/>
      <w:suff w:val="space"/>
      <w:lvlText w:val="第%2节"/>
      <w:lvlJc w:val="center"/>
      <w:pPr>
        <w:ind w:left="0" w:firstLine="426"/>
      </w:pPr>
      <w:rPr>
        <w:rFonts w:hint="eastAsia"/>
      </w:rPr>
    </w:lvl>
    <w:lvl w:ilvl="2" w:tentative="0">
      <w:start w:val="1"/>
      <w:numFmt w:val="chineseCountingThousand"/>
      <w:suff w:val="nothing"/>
      <w:lvlText w:val="%3、"/>
      <w:lvlJc w:val="left"/>
      <w:pPr>
        <w:ind w:left="710" w:firstLine="0"/>
      </w:pPr>
      <w:rPr>
        <w:rFonts w:hint="eastAsia"/>
      </w:rPr>
    </w:lvl>
    <w:lvl w:ilvl="3" w:tentative="0">
      <w:start w:val="1"/>
      <w:numFmt w:val="chineseCountingThousand"/>
      <w:suff w:val="nothing"/>
      <w:lvlText w:val="（%4）"/>
      <w:lvlJc w:val="left"/>
      <w:pPr>
        <w:ind w:left="0" w:firstLine="0"/>
      </w:pPr>
      <w:rPr>
        <w:rFonts w:hint="eastAsia"/>
      </w:rPr>
    </w:lvl>
    <w:lvl w:ilvl="4" w:tentative="0">
      <w:start w:val="1"/>
      <w:numFmt w:val="decimal"/>
      <w:pStyle w:val="6"/>
      <w:suff w:val="nothing"/>
      <w:lvlText w:val="%5、"/>
      <w:lvlJc w:val="left"/>
      <w:pPr>
        <w:ind w:left="0" w:firstLine="0"/>
      </w:pPr>
      <w:rPr>
        <w:rFonts w:hint="eastAsia"/>
      </w:rPr>
    </w:lvl>
    <w:lvl w:ilvl="5" w:tentative="0">
      <w:start w:val="1"/>
      <w:numFmt w:val="decimal"/>
      <w:pStyle w:val="7"/>
      <w:suff w:val="nothing"/>
      <w:lvlText w:val="（%6）"/>
      <w:lvlJc w:val="left"/>
      <w:pPr>
        <w:ind w:left="710" w:firstLine="0"/>
      </w:pPr>
      <w:rPr>
        <w:rFonts w:hint="eastAsia"/>
        <w:lang w:val="en-US"/>
      </w:rPr>
    </w:lvl>
    <w:lvl w:ilvl="6" w:tentative="0">
      <w:start w:val="1"/>
      <w:numFmt w:val="upperRoman"/>
      <w:suff w:val="nothing"/>
      <w:lvlText w:val="%7."/>
      <w:lvlJc w:val="left"/>
      <w:pPr>
        <w:ind w:left="0" w:firstLine="0"/>
      </w:pPr>
      <w:rPr>
        <w:rFonts w:hint="eastAsia"/>
      </w:rPr>
    </w:lvl>
    <w:lvl w:ilvl="7" w:tentative="0">
      <w:start w:val="1"/>
      <w:numFmt w:val="lowerRoman"/>
      <w:lvlText w:val="%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10">
    <w:nsid w:val="1DBA894A"/>
    <w:multiLevelType w:val="singleLevel"/>
    <w:tmpl w:val="1DBA894A"/>
    <w:lvl w:ilvl="0" w:tentative="0">
      <w:start w:val="1"/>
      <w:numFmt w:val="chineseCounting"/>
      <w:suff w:val="space"/>
      <w:lvlText w:val="第%1节"/>
      <w:lvlJc w:val="left"/>
      <w:rPr>
        <w:rFonts w:hint="eastAsia"/>
      </w:rPr>
    </w:lvl>
  </w:abstractNum>
  <w:abstractNum w:abstractNumId="11">
    <w:nsid w:val="24ABDBEA"/>
    <w:multiLevelType w:val="singleLevel"/>
    <w:tmpl w:val="24ABDBEA"/>
    <w:lvl w:ilvl="0" w:tentative="0">
      <w:start w:val="2"/>
      <w:numFmt w:val="chineseCounting"/>
      <w:suff w:val="space"/>
      <w:lvlText w:val="第%1节"/>
      <w:lvlJc w:val="left"/>
      <w:rPr>
        <w:rFonts w:hint="eastAsia"/>
      </w:rPr>
    </w:lvl>
  </w:abstractNum>
  <w:abstractNum w:abstractNumId="12">
    <w:nsid w:val="614313B7"/>
    <w:multiLevelType w:val="singleLevel"/>
    <w:tmpl w:val="614313B7"/>
    <w:lvl w:ilvl="0" w:tentative="0">
      <w:start w:val="2"/>
      <w:numFmt w:val="chineseCounting"/>
      <w:suff w:val="space"/>
      <w:lvlText w:val="第%1节"/>
      <w:lvlJc w:val="left"/>
      <w:rPr>
        <w:rFonts w:hint="eastAsia"/>
      </w:rPr>
    </w:lvl>
  </w:abstractNum>
  <w:num w:numId="1">
    <w:abstractNumId w:val="9"/>
  </w:num>
  <w:num w:numId="2">
    <w:abstractNumId w:val="0"/>
  </w:num>
  <w:num w:numId="3">
    <w:abstractNumId w:val="11"/>
  </w:num>
  <w:num w:numId="4">
    <w:abstractNumId w:val="2"/>
  </w:num>
  <w:num w:numId="5">
    <w:abstractNumId w:val="12"/>
  </w:num>
  <w:num w:numId="6">
    <w:abstractNumId w:val="6"/>
  </w:num>
  <w:num w:numId="7">
    <w:abstractNumId w:val="1"/>
  </w:num>
  <w:num w:numId="8">
    <w:abstractNumId w:val="5"/>
  </w:num>
  <w:num w:numId="9">
    <w:abstractNumId w:val="8"/>
  </w:num>
  <w:num w:numId="10">
    <w:abstractNumId w:val="7"/>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MjE5N2M0NWUzZDU5MzY2MzExODdkMjAzNGVmODIifQ=="/>
  </w:docVars>
  <w:rsids>
    <w:rsidRoot w:val="00E66667"/>
    <w:rsid w:val="000B6057"/>
    <w:rsid w:val="001B14B8"/>
    <w:rsid w:val="001E3D3B"/>
    <w:rsid w:val="00207852"/>
    <w:rsid w:val="002C61F7"/>
    <w:rsid w:val="003D7B9E"/>
    <w:rsid w:val="00416146"/>
    <w:rsid w:val="00417EF4"/>
    <w:rsid w:val="004F130E"/>
    <w:rsid w:val="006B7944"/>
    <w:rsid w:val="006F042D"/>
    <w:rsid w:val="00773752"/>
    <w:rsid w:val="009A7C05"/>
    <w:rsid w:val="00BC3A1F"/>
    <w:rsid w:val="00CD79DA"/>
    <w:rsid w:val="00D21BFA"/>
    <w:rsid w:val="00DF31A8"/>
    <w:rsid w:val="00E66667"/>
    <w:rsid w:val="010B22B0"/>
    <w:rsid w:val="01112558"/>
    <w:rsid w:val="01760043"/>
    <w:rsid w:val="018E53BB"/>
    <w:rsid w:val="02890A48"/>
    <w:rsid w:val="02F94AB6"/>
    <w:rsid w:val="037979A5"/>
    <w:rsid w:val="0385634A"/>
    <w:rsid w:val="03900178"/>
    <w:rsid w:val="039C5442"/>
    <w:rsid w:val="03AC38D7"/>
    <w:rsid w:val="040354C1"/>
    <w:rsid w:val="04583A5F"/>
    <w:rsid w:val="04874344"/>
    <w:rsid w:val="04B125F2"/>
    <w:rsid w:val="04CB2483"/>
    <w:rsid w:val="05231548"/>
    <w:rsid w:val="052851DF"/>
    <w:rsid w:val="05660819"/>
    <w:rsid w:val="05681A7F"/>
    <w:rsid w:val="05C0366A"/>
    <w:rsid w:val="05DB4947"/>
    <w:rsid w:val="061439B5"/>
    <w:rsid w:val="06B86A37"/>
    <w:rsid w:val="07034156"/>
    <w:rsid w:val="0730481F"/>
    <w:rsid w:val="0753050D"/>
    <w:rsid w:val="0765096C"/>
    <w:rsid w:val="082A473D"/>
    <w:rsid w:val="08C16076"/>
    <w:rsid w:val="08D97C55"/>
    <w:rsid w:val="091F4B4B"/>
    <w:rsid w:val="093E76C7"/>
    <w:rsid w:val="09B41737"/>
    <w:rsid w:val="0A2763AD"/>
    <w:rsid w:val="0A60366D"/>
    <w:rsid w:val="0AA1387C"/>
    <w:rsid w:val="0ADF0A36"/>
    <w:rsid w:val="0AEE2A27"/>
    <w:rsid w:val="0AEE79D4"/>
    <w:rsid w:val="0B2823DD"/>
    <w:rsid w:val="0D15073F"/>
    <w:rsid w:val="0D4234FE"/>
    <w:rsid w:val="0D7336B7"/>
    <w:rsid w:val="0E1C3D4F"/>
    <w:rsid w:val="0E6B25E0"/>
    <w:rsid w:val="0EEA1B57"/>
    <w:rsid w:val="0F31475E"/>
    <w:rsid w:val="0F3D40B9"/>
    <w:rsid w:val="0FD03043"/>
    <w:rsid w:val="104D6442"/>
    <w:rsid w:val="10FB40F0"/>
    <w:rsid w:val="112F5B47"/>
    <w:rsid w:val="113A4C18"/>
    <w:rsid w:val="116E2B13"/>
    <w:rsid w:val="11967974"/>
    <w:rsid w:val="11D87F8D"/>
    <w:rsid w:val="12791770"/>
    <w:rsid w:val="12F9640D"/>
    <w:rsid w:val="130152C1"/>
    <w:rsid w:val="132A0CBC"/>
    <w:rsid w:val="132C1AD5"/>
    <w:rsid w:val="134358DA"/>
    <w:rsid w:val="134D0507"/>
    <w:rsid w:val="13F13803"/>
    <w:rsid w:val="14CB3DD9"/>
    <w:rsid w:val="156710E9"/>
    <w:rsid w:val="15763D45"/>
    <w:rsid w:val="15AC59B8"/>
    <w:rsid w:val="15AF54A9"/>
    <w:rsid w:val="15DD7BBE"/>
    <w:rsid w:val="15F630D7"/>
    <w:rsid w:val="163C4F8E"/>
    <w:rsid w:val="164B51D1"/>
    <w:rsid w:val="16565924"/>
    <w:rsid w:val="165E3157"/>
    <w:rsid w:val="167A5AB7"/>
    <w:rsid w:val="167F30CD"/>
    <w:rsid w:val="16B965DF"/>
    <w:rsid w:val="17052C08"/>
    <w:rsid w:val="171C6B6E"/>
    <w:rsid w:val="175C51BC"/>
    <w:rsid w:val="17851367"/>
    <w:rsid w:val="17CF0785"/>
    <w:rsid w:val="17DD62FD"/>
    <w:rsid w:val="18027B12"/>
    <w:rsid w:val="1811244B"/>
    <w:rsid w:val="18863DF4"/>
    <w:rsid w:val="1888270D"/>
    <w:rsid w:val="189129D8"/>
    <w:rsid w:val="18FF04F5"/>
    <w:rsid w:val="18FF4051"/>
    <w:rsid w:val="194859F8"/>
    <w:rsid w:val="19960E59"/>
    <w:rsid w:val="19AB005B"/>
    <w:rsid w:val="1A9F3D3E"/>
    <w:rsid w:val="1AB05F4B"/>
    <w:rsid w:val="1AC35C7E"/>
    <w:rsid w:val="1B055C03"/>
    <w:rsid w:val="1B1D4C62"/>
    <w:rsid w:val="1B3A5814"/>
    <w:rsid w:val="1B5468D6"/>
    <w:rsid w:val="1B636B19"/>
    <w:rsid w:val="1B707488"/>
    <w:rsid w:val="1B9C202B"/>
    <w:rsid w:val="1C0C4856"/>
    <w:rsid w:val="1C161DDD"/>
    <w:rsid w:val="1C375872"/>
    <w:rsid w:val="1C5B3C94"/>
    <w:rsid w:val="1CD80D2E"/>
    <w:rsid w:val="1CD87093"/>
    <w:rsid w:val="1CE52261"/>
    <w:rsid w:val="1D1A3B4F"/>
    <w:rsid w:val="1D1C3424"/>
    <w:rsid w:val="1DAA6C81"/>
    <w:rsid w:val="1DB96EC4"/>
    <w:rsid w:val="1DDE4C8F"/>
    <w:rsid w:val="1E5B7ED8"/>
    <w:rsid w:val="1E6D7CAF"/>
    <w:rsid w:val="1F1F369F"/>
    <w:rsid w:val="1F291E28"/>
    <w:rsid w:val="1F435FCA"/>
    <w:rsid w:val="1F4849A4"/>
    <w:rsid w:val="1FC658C9"/>
    <w:rsid w:val="1FF42436"/>
    <w:rsid w:val="1FFC578E"/>
    <w:rsid w:val="200F7270"/>
    <w:rsid w:val="2067419F"/>
    <w:rsid w:val="20915ED7"/>
    <w:rsid w:val="20AD0837"/>
    <w:rsid w:val="21274A8D"/>
    <w:rsid w:val="213F1DD6"/>
    <w:rsid w:val="214E53A1"/>
    <w:rsid w:val="219043E0"/>
    <w:rsid w:val="21CB366A"/>
    <w:rsid w:val="225B05C9"/>
    <w:rsid w:val="227635D6"/>
    <w:rsid w:val="22DF73CD"/>
    <w:rsid w:val="23F21382"/>
    <w:rsid w:val="240320BB"/>
    <w:rsid w:val="243C43AB"/>
    <w:rsid w:val="24455956"/>
    <w:rsid w:val="24773635"/>
    <w:rsid w:val="251B2213"/>
    <w:rsid w:val="252F5CBE"/>
    <w:rsid w:val="259B4F81"/>
    <w:rsid w:val="25AC730F"/>
    <w:rsid w:val="25DA0320"/>
    <w:rsid w:val="26243349"/>
    <w:rsid w:val="264E03C6"/>
    <w:rsid w:val="26AD1590"/>
    <w:rsid w:val="26D23F0D"/>
    <w:rsid w:val="274041B2"/>
    <w:rsid w:val="27441EF5"/>
    <w:rsid w:val="274511B5"/>
    <w:rsid w:val="2753038A"/>
    <w:rsid w:val="2767173F"/>
    <w:rsid w:val="27693709"/>
    <w:rsid w:val="27814EF7"/>
    <w:rsid w:val="27DC037F"/>
    <w:rsid w:val="28120A66"/>
    <w:rsid w:val="28926C90"/>
    <w:rsid w:val="28FC235B"/>
    <w:rsid w:val="29235B3A"/>
    <w:rsid w:val="29312005"/>
    <w:rsid w:val="29EC23D0"/>
    <w:rsid w:val="2A005E7B"/>
    <w:rsid w:val="2A7A5C2D"/>
    <w:rsid w:val="2AC33130"/>
    <w:rsid w:val="2B2F07C6"/>
    <w:rsid w:val="2B391645"/>
    <w:rsid w:val="2BAC0068"/>
    <w:rsid w:val="2C0051D5"/>
    <w:rsid w:val="2C131E96"/>
    <w:rsid w:val="2C90798A"/>
    <w:rsid w:val="2D564730"/>
    <w:rsid w:val="2DBB4593"/>
    <w:rsid w:val="2DC45B3D"/>
    <w:rsid w:val="2DF53F49"/>
    <w:rsid w:val="2E332C4F"/>
    <w:rsid w:val="2E4E18AB"/>
    <w:rsid w:val="2F3C6CD0"/>
    <w:rsid w:val="2F4D3910"/>
    <w:rsid w:val="2FFE2E5D"/>
    <w:rsid w:val="300A1801"/>
    <w:rsid w:val="3014442E"/>
    <w:rsid w:val="302208F9"/>
    <w:rsid w:val="305807BF"/>
    <w:rsid w:val="30640F12"/>
    <w:rsid w:val="30711881"/>
    <w:rsid w:val="30A752A2"/>
    <w:rsid w:val="30B17ECF"/>
    <w:rsid w:val="30C47C02"/>
    <w:rsid w:val="30DD2A72"/>
    <w:rsid w:val="3112096E"/>
    <w:rsid w:val="31413319"/>
    <w:rsid w:val="3244423E"/>
    <w:rsid w:val="325D20BC"/>
    <w:rsid w:val="325D3E6B"/>
    <w:rsid w:val="32AB107A"/>
    <w:rsid w:val="32B36180"/>
    <w:rsid w:val="33576B0C"/>
    <w:rsid w:val="336E3E55"/>
    <w:rsid w:val="33EF4F96"/>
    <w:rsid w:val="340F5638"/>
    <w:rsid w:val="34C46423"/>
    <w:rsid w:val="34CA2021"/>
    <w:rsid w:val="350E769E"/>
    <w:rsid w:val="35245113"/>
    <w:rsid w:val="3550415A"/>
    <w:rsid w:val="35527ED3"/>
    <w:rsid w:val="35584DBD"/>
    <w:rsid w:val="35977693"/>
    <w:rsid w:val="3599165E"/>
    <w:rsid w:val="35A26038"/>
    <w:rsid w:val="35AE2C2F"/>
    <w:rsid w:val="35DB46E8"/>
    <w:rsid w:val="35E70F7B"/>
    <w:rsid w:val="36407D2B"/>
    <w:rsid w:val="365E28A7"/>
    <w:rsid w:val="368045CB"/>
    <w:rsid w:val="36826596"/>
    <w:rsid w:val="36EA7C97"/>
    <w:rsid w:val="37537F32"/>
    <w:rsid w:val="37F039D3"/>
    <w:rsid w:val="381E22EE"/>
    <w:rsid w:val="381F0062"/>
    <w:rsid w:val="389B393F"/>
    <w:rsid w:val="393D0552"/>
    <w:rsid w:val="39455658"/>
    <w:rsid w:val="398D772B"/>
    <w:rsid w:val="3995038E"/>
    <w:rsid w:val="39D8471E"/>
    <w:rsid w:val="39DA0497"/>
    <w:rsid w:val="39E430C3"/>
    <w:rsid w:val="39F74BA5"/>
    <w:rsid w:val="3A4A561C"/>
    <w:rsid w:val="3A4F2C33"/>
    <w:rsid w:val="3AAA60BB"/>
    <w:rsid w:val="3B00217F"/>
    <w:rsid w:val="3B392F9B"/>
    <w:rsid w:val="3B4A51A8"/>
    <w:rsid w:val="3B9A7EDD"/>
    <w:rsid w:val="3BB56AC5"/>
    <w:rsid w:val="3BD17677"/>
    <w:rsid w:val="3C8666B4"/>
    <w:rsid w:val="3CB13731"/>
    <w:rsid w:val="3CC50F8A"/>
    <w:rsid w:val="3CC86CCC"/>
    <w:rsid w:val="3CCA47F2"/>
    <w:rsid w:val="3CD70CBD"/>
    <w:rsid w:val="3D1A195E"/>
    <w:rsid w:val="3DEB4A20"/>
    <w:rsid w:val="3DF8538F"/>
    <w:rsid w:val="3E067AAC"/>
    <w:rsid w:val="3E175815"/>
    <w:rsid w:val="3E193CBC"/>
    <w:rsid w:val="3E49764D"/>
    <w:rsid w:val="3E974BA8"/>
    <w:rsid w:val="3EC7548D"/>
    <w:rsid w:val="3EEB0A50"/>
    <w:rsid w:val="3F1E2BD3"/>
    <w:rsid w:val="3F214472"/>
    <w:rsid w:val="3F6820A1"/>
    <w:rsid w:val="3F7E01A5"/>
    <w:rsid w:val="3F8B7233"/>
    <w:rsid w:val="3FB144C7"/>
    <w:rsid w:val="3FB5178A"/>
    <w:rsid w:val="3FBB6674"/>
    <w:rsid w:val="3FE61943"/>
    <w:rsid w:val="40295CD4"/>
    <w:rsid w:val="402B37FA"/>
    <w:rsid w:val="40AD06B3"/>
    <w:rsid w:val="40C559FD"/>
    <w:rsid w:val="40D43E92"/>
    <w:rsid w:val="40DB4B8C"/>
    <w:rsid w:val="40F41E3E"/>
    <w:rsid w:val="40F55BB6"/>
    <w:rsid w:val="411C1395"/>
    <w:rsid w:val="413B181B"/>
    <w:rsid w:val="4153125A"/>
    <w:rsid w:val="41540B2E"/>
    <w:rsid w:val="415F7B15"/>
    <w:rsid w:val="416F214F"/>
    <w:rsid w:val="41790595"/>
    <w:rsid w:val="418D4040"/>
    <w:rsid w:val="419378A9"/>
    <w:rsid w:val="419B675D"/>
    <w:rsid w:val="42733236"/>
    <w:rsid w:val="42A63C59"/>
    <w:rsid w:val="42DD6902"/>
    <w:rsid w:val="42EB1178"/>
    <w:rsid w:val="437454B8"/>
    <w:rsid w:val="43BF27CE"/>
    <w:rsid w:val="43E02B4D"/>
    <w:rsid w:val="442B161A"/>
    <w:rsid w:val="44615A3C"/>
    <w:rsid w:val="446F7FAD"/>
    <w:rsid w:val="4476700E"/>
    <w:rsid w:val="44A1052F"/>
    <w:rsid w:val="44FD328B"/>
    <w:rsid w:val="454809AA"/>
    <w:rsid w:val="458B0897"/>
    <w:rsid w:val="45D67D64"/>
    <w:rsid w:val="45E1249C"/>
    <w:rsid w:val="465B470D"/>
    <w:rsid w:val="46A95479"/>
    <w:rsid w:val="46C978C9"/>
    <w:rsid w:val="46CE3131"/>
    <w:rsid w:val="46F96400"/>
    <w:rsid w:val="46FC1A4C"/>
    <w:rsid w:val="4702388C"/>
    <w:rsid w:val="471E5E67"/>
    <w:rsid w:val="478E10F8"/>
    <w:rsid w:val="47A125F4"/>
    <w:rsid w:val="47B6609F"/>
    <w:rsid w:val="4819521F"/>
    <w:rsid w:val="481B4154"/>
    <w:rsid w:val="481E3C44"/>
    <w:rsid w:val="485E04E5"/>
    <w:rsid w:val="489A151D"/>
    <w:rsid w:val="48A26623"/>
    <w:rsid w:val="48A64365"/>
    <w:rsid w:val="48C06AA9"/>
    <w:rsid w:val="48F13107"/>
    <w:rsid w:val="497D499A"/>
    <w:rsid w:val="498D1081"/>
    <w:rsid w:val="49CF169A"/>
    <w:rsid w:val="49E614C1"/>
    <w:rsid w:val="4A123335"/>
    <w:rsid w:val="4ACC7988"/>
    <w:rsid w:val="4B1F5D09"/>
    <w:rsid w:val="4B475260"/>
    <w:rsid w:val="4B771FE9"/>
    <w:rsid w:val="4C003D8D"/>
    <w:rsid w:val="4C453E95"/>
    <w:rsid w:val="4C667968"/>
    <w:rsid w:val="4D096C71"/>
    <w:rsid w:val="4D16313C"/>
    <w:rsid w:val="4D241CFD"/>
    <w:rsid w:val="4DA90454"/>
    <w:rsid w:val="4DD94895"/>
    <w:rsid w:val="4DE66FB2"/>
    <w:rsid w:val="4E8C5DAC"/>
    <w:rsid w:val="4EAB1CD7"/>
    <w:rsid w:val="4FD317B8"/>
    <w:rsid w:val="4FEB08B0"/>
    <w:rsid w:val="50630D8E"/>
    <w:rsid w:val="50744D49"/>
    <w:rsid w:val="50EA6DB9"/>
    <w:rsid w:val="50EF43D0"/>
    <w:rsid w:val="50F47C38"/>
    <w:rsid w:val="516C5A20"/>
    <w:rsid w:val="517B1F34"/>
    <w:rsid w:val="517D7C2E"/>
    <w:rsid w:val="5196484B"/>
    <w:rsid w:val="51A46F68"/>
    <w:rsid w:val="51A74CAA"/>
    <w:rsid w:val="520914C1"/>
    <w:rsid w:val="52337A35"/>
    <w:rsid w:val="52C55428"/>
    <w:rsid w:val="52DB10B0"/>
    <w:rsid w:val="535B3F9E"/>
    <w:rsid w:val="5382777D"/>
    <w:rsid w:val="53BB4A3D"/>
    <w:rsid w:val="53F26C10"/>
    <w:rsid w:val="540957A8"/>
    <w:rsid w:val="54BE2A37"/>
    <w:rsid w:val="54F40207"/>
    <w:rsid w:val="550F5041"/>
    <w:rsid w:val="551B39E5"/>
    <w:rsid w:val="552B174F"/>
    <w:rsid w:val="55C53951"/>
    <w:rsid w:val="55E93AE3"/>
    <w:rsid w:val="569E48CE"/>
    <w:rsid w:val="569F0646"/>
    <w:rsid w:val="56B20379"/>
    <w:rsid w:val="57340D8E"/>
    <w:rsid w:val="5794182D"/>
    <w:rsid w:val="57E52089"/>
    <w:rsid w:val="5809221B"/>
    <w:rsid w:val="581806B0"/>
    <w:rsid w:val="585039A6"/>
    <w:rsid w:val="58615BB3"/>
    <w:rsid w:val="586D09FC"/>
    <w:rsid w:val="587E0D81"/>
    <w:rsid w:val="589309EC"/>
    <w:rsid w:val="58CA7BFC"/>
    <w:rsid w:val="59396B30"/>
    <w:rsid w:val="595B4CF8"/>
    <w:rsid w:val="59922F80"/>
    <w:rsid w:val="59A33FA9"/>
    <w:rsid w:val="59A57D21"/>
    <w:rsid w:val="59BE0DE3"/>
    <w:rsid w:val="59FF38D6"/>
    <w:rsid w:val="5A0A4028"/>
    <w:rsid w:val="5A296BA4"/>
    <w:rsid w:val="5A623E64"/>
    <w:rsid w:val="5A7476F4"/>
    <w:rsid w:val="5A8E6A07"/>
    <w:rsid w:val="5AB521E6"/>
    <w:rsid w:val="5B0311A3"/>
    <w:rsid w:val="5B24736C"/>
    <w:rsid w:val="5B2D4472"/>
    <w:rsid w:val="5B7C71A8"/>
    <w:rsid w:val="5C0276AD"/>
    <w:rsid w:val="5CE45005"/>
    <w:rsid w:val="5CEE378D"/>
    <w:rsid w:val="5DDC5CDC"/>
    <w:rsid w:val="5DFA58D0"/>
    <w:rsid w:val="5DFE20F6"/>
    <w:rsid w:val="5E03770C"/>
    <w:rsid w:val="5E7A5C21"/>
    <w:rsid w:val="5EA031AD"/>
    <w:rsid w:val="5EC96260"/>
    <w:rsid w:val="5F6917F1"/>
    <w:rsid w:val="5F6D7533"/>
    <w:rsid w:val="601E082E"/>
    <w:rsid w:val="60367925"/>
    <w:rsid w:val="603B13E0"/>
    <w:rsid w:val="60583D40"/>
    <w:rsid w:val="605D6168"/>
    <w:rsid w:val="60870181"/>
    <w:rsid w:val="60DF620F"/>
    <w:rsid w:val="61614E76"/>
    <w:rsid w:val="6206281A"/>
    <w:rsid w:val="626544F2"/>
    <w:rsid w:val="62AB4FD4"/>
    <w:rsid w:val="62CF7BBD"/>
    <w:rsid w:val="62EA0E9B"/>
    <w:rsid w:val="6316610F"/>
    <w:rsid w:val="63514A76"/>
    <w:rsid w:val="635A7DCF"/>
    <w:rsid w:val="63B55005"/>
    <w:rsid w:val="63C45248"/>
    <w:rsid w:val="640F0BB9"/>
    <w:rsid w:val="64416899"/>
    <w:rsid w:val="64C9520C"/>
    <w:rsid w:val="64CF659A"/>
    <w:rsid w:val="65202952"/>
    <w:rsid w:val="655D5954"/>
    <w:rsid w:val="657038D9"/>
    <w:rsid w:val="657B402C"/>
    <w:rsid w:val="658C7FE7"/>
    <w:rsid w:val="65AC0E99"/>
    <w:rsid w:val="65BA4B55"/>
    <w:rsid w:val="65C37EAD"/>
    <w:rsid w:val="65D025CA"/>
    <w:rsid w:val="65D4094B"/>
    <w:rsid w:val="65D73958"/>
    <w:rsid w:val="65F04A1A"/>
    <w:rsid w:val="669435F8"/>
    <w:rsid w:val="66D47E98"/>
    <w:rsid w:val="66F1010E"/>
    <w:rsid w:val="67050051"/>
    <w:rsid w:val="67073DC9"/>
    <w:rsid w:val="67CB3049"/>
    <w:rsid w:val="67FA392E"/>
    <w:rsid w:val="6802081E"/>
    <w:rsid w:val="6821710D"/>
    <w:rsid w:val="68580655"/>
    <w:rsid w:val="687C55F8"/>
    <w:rsid w:val="68A67612"/>
    <w:rsid w:val="68BE2BAE"/>
    <w:rsid w:val="68C31F72"/>
    <w:rsid w:val="690C75E7"/>
    <w:rsid w:val="694C01BA"/>
    <w:rsid w:val="69763488"/>
    <w:rsid w:val="69A2602B"/>
    <w:rsid w:val="69A47FF6"/>
    <w:rsid w:val="69CA4ADC"/>
    <w:rsid w:val="69EF58AA"/>
    <w:rsid w:val="6A1C5DDE"/>
    <w:rsid w:val="6A793230"/>
    <w:rsid w:val="6AC124E1"/>
    <w:rsid w:val="6AD541DF"/>
    <w:rsid w:val="6B3929BF"/>
    <w:rsid w:val="6B8F25DF"/>
    <w:rsid w:val="6BCC7390"/>
    <w:rsid w:val="6BF31B5A"/>
    <w:rsid w:val="6BF568E6"/>
    <w:rsid w:val="6C0542AA"/>
    <w:rsid w:val="6C6E48EB"/>
    <w:rsid w:val="6C8E6D3B"/>
    <w:rsid w:val="6CA16A6E"/>
    <w:rsid w:val="6CA67BE1"/>
    <w:rsid w:val="6D723F67"/>
    <w:rsid w:val="6D77157D"/>
    <w:rsid w:val="6D9B34BE"/>
    <w:rsid w:val="6DB164F5"/>
    <w:rsid w:val="6DB32D33"/>
    <w:rsid w:val="6DEF55B7"/>
    <w:rsid w:val="6DFB5D0A"/>
    <w:rsid w:val="6E1A0886"/>
    <w:rsid w:val="6E2C05BA"/>
    <w:rsid w:val="6E407BC1"/>
    <w:rsid w:val="6E6412CA"/>
    <w:rsid w:val="6E7C509D"/>
    <w:rsid w:val="6EB365E5"/>
    <w:rsid w:val="6EE175F6"/>
    <w:rsid w:val="6F34031F"/>
    <w:rsid w:val="6F547DC8"/>
    <w:rsid w:val="6F7915DC"/>
    <w:rsid w:val="6FFD220E"/>
    <w:rsid w:val="700F3CEF"/>
    <w:rsid w:val="70313C65"/>
    <w:rsid w:val="70333E81"/>
    <w:rsid w:val="707324D0"/>
    <w:rsid w:val="709D754D"/>
    <w:rsid w:val="70A628A5"/>
    <w:rsid w:val="71237A52"/>
    <w:rsid w:val="715440AF"/>
    <w:rsid w:val="71B7463E"/>
    <w:rsid w:val="71D074AE"/>
    <w:rsid w:val="71D76A8E"/>
    <w:rsid w:val="71DD22F7"/>
    <w:rsid w:val="71E511AB"/>
    <w:rsid w:val="720D425E"/>
    <w:rsid w:val="721675B7"/>
    <w:rsid w:val="723637B5"/>
    <w:rsid w:val="72730565"/>
    <w:rsid w:val="72E94CCB"/>
    <w:rsid w:val="72F5541E"/>
    <w:rsid w:val="73090EC9"/>
    <w:rsid w:val="735C36EF"/>
    <w:rsid w:val="73726A6F"/>
    <w:rsid w:val="73A330CC"/>
    <w:rsid w:val="73BA21C4"/>
    <w:rsid w:val="744523D5"/>
    <w:rsid w:val="745919DD"/>
    <w:rsid w:val="746C5BB4"/>
    <w:rsid w:val="749D3FBF"/>
    <w:rsid w:val="74F040EF"/>
    <w:rsid w:val="74FB2A94"/>
    <w:rsid w:val="74FC33AE"/>
    <w:rsid w:val="75C04C53"/>
    <w:rsid w:val="75C705DA"/>
    <w:rsid w:val="75FC4D15"/>
    <w:rsid w:val="76143E0D"/>
    <w:rsid w:val="761A0F2D"/>
    <w:rsid w:val="76266E7A"/>
    <w:rsid w:val="762A43F5"/>
    <w:rsid w:val="762A60A0"/>
    <w:rsid w:val="762D3121"/>
    <w:rsid w:val="764A3CD3"/>
    <w:rsid w:val="77100A78"/>
    <w:rsid w:val="779F6E43"/>
    <w:rsid w:val="77BA0127"/>
    <w:rsid w:val="77C655DB"/>
    <w:rsid w:val="77F739E6"/>
    <w:rsid w:val="783764D9"/>
    <w:rsid w:val="78853AB9"/>
    <w:rsid w:val="78866B18"/>
    <w:rsid w:val="78986F77"/>
    <w:rsid w:val="78A82F32"/>
    <w:rsid w:val="78D45AD6"/>
    <w:rsid w:val="78FE3C2B"/>
    <w:rsid w:val="79556C16"/>
    <w:rsid w:val="79646E59"/>
    <w:rsid w:val="797352EE"/>
    <w:rsid w:val="79EB757B"/>
    <w:rsid w:val="7A007A70"/>
    <w:rsid w:val="7A344A7E"/>
    <w:rsid w:val="7B5573A2"/>
    <w:rsid w:val="7B62561B"/>
    <w:rsid w:val="7B690757"/>
    <w:rsid w:val="7B6A2721"/>
    <w:rsid w:val="7BB73BB8"/>
    <w:rsid w:val="7BCB31C0"/>
    <w:rsid w:val="7CA348A6"/>
    <w:rsid w:val="7CE02C9B"/>
    <w:rsid w:val="7CFE75C5"/>
    <w:rsid w:val="7D0746CC"/>
    <w:rsid w:val="7D40198C"/>
    <w:rsid w:val="7D823D52"/>
    <w:rsid w:val="7D87580C"/>
    <w:rsid w:val="7DA0242A"/>
    <w:rsid w:val="7DC4436B"/>
    <w:rsid w:val="7E062BD5"/>
    <w:rsid w:val="7E0D1A34"/>
    <w:rsid w:val="7E0E55E6"/>
    <w:rsid w:val="7E490D14"/>
    <w:rsid w:val="7E6D5FE3"/>
    <w:rsid w:val="7E924469"/>
    <w:rsid w:val="7F192494"/>
    <w:rsid w:val="7F196938"/>
    <w:rsid w:val="7F8E2E82"/>
    <w:rsid w:val="7FA44454"/>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26"/>
    <w:qFormat/>
    <w:uiPriority w:val="0"/>
    <w:pPr>
      <w:keepNext/>
      <w:keepLines/>
      <w:outlineLvl w:val="0"/>
    </w:pPr>
    <w:rPr>
      <w:b/>
      <w:kern w:val="44"/>
      <w:sz w:val="36"/>
    </w:rPr>
  </w:style>
  <w:style w:type="paragraph" w:styleId="4">
    <w:name w:val="heading 2"/>
    <w:basedOn w:val="1"/>
    <w:next w:val="1"/>
    <w:link w:val="24"/>
    <w:semiHidden/>
    <w:unhideWhenUsed/>
    <w:qFormat/>
    <w:uiPriority w:val="0"/>
    <w:pPr>
      <w:keepNext/>
      <w:keepLines/>
      <w:outlineLvl w:val="1"/>
    </w:pPr>
    <w:rPr>
      <w:b/>
      <w:bCs/>
      <w:sz w:val="30"/>
      <w:szCs w:val="32"/>
    </w:rPr>
  </w:style>
  <w:style w:type="paragraph" w:styleId="2">
    <w:name w:val="heading 3"/>
    <w:basedOn w:val="1"/>
    <w:next w:val="1"/>
    <w:link w:val="27"/>
    <w:semiHidden/>
    <w:unhideWhenUsed/>
    <w:qFormat/>
    <w:uiPriority w:val="0"/>
    <w:pPr>
      <w:keepNext/>
      <w:keepLines/>
      <w:outlineLvl w:val="2"/>
    </w:pPr>
    <w:rPr>
      <w:b/>
      <w:bCs/>
      <w:szCs w:val="32"/>
    </w:rPr>
  </w:style>
  <w:style w:type="paragraph" w:styleId="5">
    <w:name w:val="heading 4"/>
    <w:basedOn w:val="1"/>
    <w:next w:val="1"/>
    <w:link w:val="28"/>
    <w:semiHidden/>
    <w:unhideWhenUsed/>
    <w:qFormat/>
    <w:uiPriority w:val="0"/>
    <w:pPr>
      <w:keepNext/>
      <w:keepLines/>
      <w:snapToGrid w:val="0"/>
      <w:outlineLvl w:val="3"/>
    </w:pPr>
    <w:rPr>
      <w:rFonts w:eastAsia="宋体"/>
      <w:bCs/>
      <w:szCs w:val="28"/>
    </w:rPr>
  </w:style>
  <w:style w:type="paragraph" w:styleId="6">
    <w:name w:val="heading 5"/>
    <w:basedOn w:val="1"/>
    <w:next w:val="1"/>
    <w:semiHidden/>
    <w:unhideWhenUsed/>
    <w:qFormat/>
    <w:uiPriority w:val="0"/>
    <w:pPr>
      <w:keepNext/>
      <w:keepLines/>
      <w:numPr>
        <w:ilvl w:val="4"/>
        <w:numId w:val="1"/>
      </w:numPr>
      <w:ind w:firstLineChars="0"/>
      <w:outlineLvl w:val="4"/>
    </w:pPr>
    <w:rPr>
      <w:rFonts w:eastAsia="宋体"/>
      <w:b/>
      <w:bCs/>
      <w:szCs w:val="28"/>
    </w:rPr>
  </w:style>
  <w:style w:type="paragraph" w:styleId="7">
    <w:name w:val="heading 6"/>
    <w:basedOn w:val="1"/>
    <w:next w:val="1"/>
    <w:link w:val="25"/>
    <w:semiHidden/>
    <w:unhideWhenUsed/>
    <w:qFormat/>
    <w:uiPriority w:val="0"/>
    <w:pPr>
      <w:keepNext/>
      <w:keepLines/>
      <w:numPr>
        <w:ilvl w:val="5"/>
        <w:numId w:val="1"/>
      </w:numPr>
      <w:ind w:left="0" w:firstLineChars="0"/>
      <w:outlineLvl w:val="5"/>
    </w:pPr>
    <w:rPr>
      <w:rFonts w:eastAsia="宋体" w:cstheme="majorBidi"/>
      <w:bC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pPr>
    <w:rPr>
      <w:rFonts w:ascii="Calibri" w:hAnsi="Calibri"/>
      <w:sz w:val="21"/>
      <w:szCs w:val="22"/>
    </w:rPr>
  </w:style>
  <w:style w:type="paragraph" w:styleId="9">
    <w:name w:val="annotation text"/>
    <w:basedOn w:val="1"/>
    <w:link w:val="33"/>
    <w:qFormat/>
    <w:uiPriority w:val="0"/>
    <w:pPr>
      <w:jc w:val="left"/>
    </w:pPr>
  </w:style>
  <w:style w:type="paragraph" w:styleId="10">
    <w:name w:val="Body Text"/>
    <w:basedOn w:val="1"/>
    <w:next w:val="11"/>
    <w:unhideWhenUsed/>
    <w:qFormat/>
    <w:uiPriority w:val="99"/>
    <w:pPr>
      <w:spacing w:after="120"/>
    </w:pPr>
  </w:style>
  <w:style w:type="paragraph" w:styleId="11">
    <w:name w:val="Body Text First Indent"/>
    <w:basedOn w:val="10"/>
    <w:qFormat/>
    <w:uiPriority w:val="0"/>
    <w:pPr>
      <w:ind w:firstLine="420" w:firstLineChars="100"/>
    </w:pPr>
    <w:rPr>
      <w:rFonts w:eastAsia="宋体"/>
    </w:rPr>
  </w:style>
  <w:style w:type="paragraph" w:styleId="12">
    <w:name w:val="Body Text Indent"/>
    <w:basedOn w:val="1"/>
    <w:next w:val="10"/>
    <w:qFormat/>
    <w:uiPriority w:val="0"/>
    <w:pPr>
      <w:spacing w:after="120"/>
      <w:ind w:left="420" w:leftChars="200"/>
    </w:pPr>
  </w:style>
  <w:style w:type="paragraph" w:styleId="13">
    <w:name w:val="Block Text"/>
    <w:basedOn w:val="1"/>
    <w:qFormat/>
    <w:uiPriority w:val="0"/>
    <w:pPr>
      <w:spacing w:after="120"/>
      <w:ind w:left="1440" w:leftChars="700" w:right="700" w:rightChars="7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32"/>
    <w:qFormat/>
    <w:uiPriority w:val="0"/>
    <w:pPr>
      <w:tabs>
        <w:tab w:val="center" w:pos="4153"/>
        <w:tab w:val="right" w:pos="8306"/>
      </w:tabs>
      <w:snapToGrid w:val="0"/>
      <w:spacing w:line="240" w:lineRule="auto"/>
      <w:jc w:val="center"/>
    </w:pPr>
    <w:rPr>
      <w:sz w:val="18"/>
      <w:szCs w:val="18"/>
    </w:rPr>
  </w:style>
  <w:style w:type="paragraph" w:styleId="16">
    <w:name w:val="HTML Preformatted"/>
    <w:basedOn w:val="1"/>
    <w:qFormat/>
    <w:uiPriority w:val="0"/>
    <w:rPr>
      <w:rFonts w:ascii="Courier New" w:hAnsi="Courier New"/>
      <w:sz w:val="20"/>
    </w:rPr>
  </w:style>
  <w:style w:type="paragraph" w:styleId="17">
    <w:name w:val="annotation subject"/>
    <w:basedOn w:val="9"/>
    <w:next w:val="9"/>
    <w:link w:val="34"/>
    <w:qFormat/>
    <w:uiPriority w:val="0"/>
    <w:rPr>
      <w:b/>
      <w:bCs/>
    </w:rPr>
  </w:style>
  <w:style w:type="paragraph" w:styleId="18">
    <w:name w:val="Body Text First Indent 2"/>
    <w:basedOn w:val="12"/>
    <w:next w:val="12"/>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annotation reference"/>
    <w:qFormat/>
    <w:uiPriority w:val="0"/>
    <w:rPr>
      <w:sz w:val="21"/>
      <w:szCs w:val="21"/>
    </w:rPr>
  </w:style>
  <w:style w:type="character" w:customStyle="1" w:styleId="24">
    <w:name w:val="标题 2 字符"/>
    <w:basedOn w:val="21"/>
    <w:link w:val="4"/>
    <w:qFormat/>
    <w:uiPriority w:val="0"/>
    <w:rPr>
      <w:rFonts w:ascii="Times New Roman" w:hAnsi="Times New Roman" w:eastAsia="宋体" w:cs="Times New Roman"/>
      <w:b/>
      <w:bCs/>
      <w:sz w:val="30"/>
      <w:szCs w:val="32"/>
    </w:rPr>
  </w:style>
  <w:style w:type="character" w:customStyle="1" w:styleId="25">
    <w:name w:val="标题 6 字符"/>
    <w:basedOn w:val="21"/>
    <w:link w:val="7"/>
    <w:qFormat/>
    <w:uiPriority w:val="9"/>
    <w:rPr>
      <w:rFonts w:ascii="Times New Roman" w:hAnsi="Times New Roman" w:eastAsia="宋体" w:cstheme="majorBidi"/>
      <w:bCs/>
    </w:rPr>
  </w:style>
  <w:style w:type="character" w:customStyle="1" w:styleId="26">
    <w:name w:val="标题 1 字符"/>
    <w:basedOn w:val="21"/>
    <w:link w:val="3"/>
    <w:qFormat/>
    <w:uiPriority w:val="0"/>
    <w:rPr>
      <w:rFonts w:ascii="Times New Roman" w:hAnsi="Times New Roman" w:eastAsia="宋体" w:cs="宋体"/>
      <w:b/>
      <w:bCs/>
      <w:kern w:val="36"/>
      <w:sz w:val="32"/>
      <w:szCs w:val="48"/>
    </w:rPr>
  </w:style>
  <w:style w:type="character" w:customStyle="1" w:styleId="27">
    <w:name w:val="标题 3 字符"/>
    <w:basedOn w:val="21"/>
    <w:link w:val="2"/>
    <w:qFormat/>
    <w:uiPriority w:val="99"/>
    <w:rPr>
      <w:rFonts w:ascii="Times New Roman" w:hAnsi="Times New Roman" w:eastAsia="宋体" w:cs="Times New Roman"/>
      <w:b/>
      <w:sz w:val="32"/>
      <w:szCs w:val="24"/>
    </w:rPr>
  </w:style>
  <w:style w:type="character" w:customStyle="1" w:styleId="28">
    <w:name w:val="标题 4 字符"/>
    <w:link w:val="5"/>
    <w:qFormat/>
    <w:uiPriority w:val="0"/>
    <w:rPr>
      <w:rFonts w:ascii="Times New Roman" w:hAnsi="Times New Roman" w:eastAsia="宋体" w:cs="Times New Roman"/>
      <w:sz w:val="24"/>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font1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default" w:ascii="Times New Roman" w:hAnsi="Times New Roman" w:cs="Times New Roman"/>
      <w:color w:val="000000"/>
      <w:sz w:val="22"/>
      <w:szCs w:val="22"/>
      <w:u w:val="none"/>
    </w:rPr>
  </w:style>
  <w:style w:type="character" w:customStyle="1" w:styleId="32">
    <w:name w:val="页眉 字符"/>
    <w:basedOn w:val="21"/>
    <w:link w:val="15"/>
    <w:qFormat/>
    <w:uiPriority w:val="0"/>
    <w:rPr>
      <w:rFonts w:eastAsia="仿宋"/>
      <w:kern w:val="2"/>
      <w:sz w:val="18"/>
      <w:szCs w:val="18"/>
    </w:rPr>
  </w:style>
  <w:style w:type="character" w:customStyle="1" w:styleId="33">
    <w:name w:val="批注文字 字符"/>
    <w:basedOn w:val="21"/>
    <w:link w:val="9"/>
    <w:qFormat/>
    <w:uiPriority w:val="0"/>
    <w:rPr>
      <w:rFonts w:eastAsia="仿宋"/>
      <w:kern w:val="2"/>
      <w:sz w:val="28"/>
      <w:szCs w:val="24"/>
    </w:rPr>
  </w:style>
  <w:style w:type="character" w:customStyle="1" w:styleId="34">
    <w:name w:val="批注主题 字符"/>
    <w:basedOn w:val="33"/>
    <w:link w:val="17"/>
    <w:qFormat/>
    <w:uiPriority w:val="0"/>
    <w:rPr>
      <w:rFonts w:eastAsia="仿宋"/>
      <w:b/>
      <w:bCs/>
      <w:kern w:val="2"/>
      <w:sz w:val="28"/>
      <w:szCs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22080</Words>
  <Characters>22319</Characters>
  <Lines>187</Lines>
  <Paragraphs>52</Paragraphs>
  <TotalTime>200</TotalTime>
  <ScaleCrop>false</ScaleCrop>
  <LinksUpToDate>false</LinksUpToDate>
  <CharactersWithSpaces>23301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2020-02-19T07:09:00Z</dcterms:created>
  <dc:creator>baigu</dc:creator>
  <cp:lastModifiedBy>Administrator</cp:lastModifiedBy>
  <cp:lastPrinted>2024-01-30T10:16:39Z</cp:lastPrinted>
  <dcterms:modified xsi:type="dcterms:W3CDTF">2024-01-30T10:16:47Z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813026B9CA384D029CE1EEE963B253E9</vt:lpwstr>
  </property>
</Properties>
</file>