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 w:bidi="en-US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 w:bidi="en-US"/>
        </w:rPr>
        <w:t>关于审议伊吾县2022年财政决算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 w:bidi="en-US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 w:bidi="en-US"/>
        </w:rPr>
        <w:t>（草案）的报告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主任、各位副主任，各位委员：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受县政府的委托，我向会议报告伊吾县202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年财政决算（草案）的报告，请予以审议。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en-US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en-US"/>
        </w:rPr>
        <w:t>一、2022年地方财政收支完成情况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2022年伊吾县地方财政收入完成32.76亿元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，同比增收19.30亿元，增长143.43%</w:t>
      </w:r>
      <w:r>
        <w:rPr>
          <w:rFonts w:hint="eastAsia" w:ascii="仿宋_GB2312" w:hAnsi="仿宋_GB2312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成年初预算14.94亿元的219.28%。上级补助收入10.85亿元，新增地方债务转贷收入5.48亿元。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Chars="0"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2022年地方财政支出完成27.11亿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同比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增加3.42亿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同比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增长14.42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完成年初预算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18.63亿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145.52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上解上级支出10.39亿元，债务还本支出8582万元。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sz w:val="32"/>
          <w:szCs w:val="32"/>
          <w:highlight w:val="none"/>
        </w:rPr>
      </w:pPr>
      <w:r>
        <w:rPr>
          <w:rStyle w:val="5"/>
          <w:rFonts w:hint="eastAsia" w:ascii="楷体_GB2312" w:hAnsi="楷体_GB2312" w:eastAsia="楷体_GB2312" w:cs="楷体_GB2312"/>
          <w:b/>
          <w:bCs w:val="0"/>
          <w:i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"/>
        </w:rPr>
        <w:t>（一）一般公共预算收支决算情况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一般公共预算收入31.63亿元，同比增收19.09亿元，同比增长152.19%，完成年初预算13.66亿元的231.55%。其中：</w:t>
      </w:r>
      <w:r>
        <w:rPr>
          <w:rFonts w:hint="eastAsia" w:ascii="仿宋_GB2312" w:hAnsi="仿宋_GB2312" w:eastAsia="仿宋_GB2312" w:cs="仿宋_GB2312"/>
          <w:sz w:val="32"/>
          <w:szCs w:val="32"/>
        </w:rPr>
        <w:t>税收收入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28.99亿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同比增收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17.30亿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148.02</w:t>
      </w:r>
      <w:r>
        <w:rPr>
          <w:rFonts w:hint="eastAsia" w:ascii="仿宋_GB2312" w:hAnsi="仿宋_GB2312" w:eastAsia="仿宋_GB2312" w:cs="仿宋_GB2312"/>
          <w:sz w:val="32"/>
          <w:szCs w:val="32"/>
        </w:rPr>
        <w:t>%，完成年初预算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12亿</w:t>
      </w:r>
      <w:r>
        <w:rPr>
          <w:rFonts w:hint="eastAsia" w:ascii="仿宋_GB2312" w:hAnsi="仿宋_GB2312" w:eastAsia="仿宋_GB2312" w:cs="仿宋_GB2312"/>
          <w:sz w:val="32"/>
          <w:szCs w:val="32"/>
        </w:rPr>
        <w:t>元的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241.58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非税收入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2.64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同比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</w:t>
      </w:r>
      <w:r>
        <w:rPr>
          <w:rFonts w:hint="eastAsia" w:ascii="仿宋_GB2312" w:hAnsi="仿宋_GB2312" w:eastAsia="仿宋_GB2312" w:cs="仿宋_GB2312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1.79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209.23</w:t>
      </w:r>
      <w:r>
        <w:rPr>
          <w:rFonts w:hint="eastAsia" w:ascii="仿宋_GB2312" w:hAnsi="仿宋_GB2312" w:eastAsia="仿宋_GB2312" w:cs="仿宋_GB2312"/>
          <w:sz w:val="32"/>
          <w:szCs w:val="32"/>
        </w:rPr>
        <w:t>%，完成年初预算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1.66亿</w:t>
      </w:r>
      <w:r>
        <w:rPr>
          <w:rFonts w:hint="eastAsia" w:ascii="仿宋_GB2312" w:hAnsi="仿宋_GB2312" w:eastAsia="仿宋_GB2312" w:cs="仿宋_GB2312"/>
          <w:sz w:val="32"/>
          <w:szCs w:val="32"/>
        </w:rPr>
        <w:t>元的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159.04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一般公共预算支出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22.92亿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增加7.16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同比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增长45.41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完成年初预算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16.07亿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142.63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sz w:val="32"/>
          <w:szCs w:val="32"/>
          <w:highlight w:val="none"/>
        </w:rPr>
      </w:pPr>
      <w:r>
        <w:rPr>
          <w:rStyle w:val="5"/>
          <w:rFonts w:hint="eastAsia" w:ascii="楷体_GB2312" w:hAnsi="楷体_GB2312" w:eastAsia="楷体_GB2312" w:cs="楷体_GB2312"/>
          <w:b/>
          <w:bCs w:val="0"/>
          <w:i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"/>
        </w:rPr>
        <w:t>（二）政府性基金预算收支决算情况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政府性基金收入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1.13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同比增收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2142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23.42</w:t>
      </w:r>
      <w:r>
        <w:rPr>
          <w:rFonts w:hint="eastAsia" w:ascii="仿宋_GB2312" w:hAnsi="仿宋_GB2312" w:eastAsia="仿宋_GB2312" w:cs="仿宋_GB2312"/>
          <w:sz w:val="32"/>
          <w:szCs w:val="32"/>
        </w:rPr>
        <w:t>%，完成年初预算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1.28亿元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88.28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政府性基金支出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4.18亿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同比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减少3.74亿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下降47.21</w:t>
      </w:r>
      <w:r>
        <w:rPr>
          <w:rFonts w:hint="eastAsia" w:ascii="仿宋_GB2312" w:hAnsi="仿宋_GB2312" w:eastAsia="仿宋_GB2312" w:cs="仿宋_GB2312"/>
          <w:sz w:val="32"/>
          <w:szCs w:val="32"/>
        </w:rPr>
        <w:t>%，完成年初预算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2.56亿</w:t>
      </w:r>
      <w:r>
        <w:rPr>
          <w:rFonts w:hint="eastAsia" w:ascii="仿宋_GB2312" w:hAnsi="仿宋_GB2312" w:eastAsia="仿宋_GB2312" w:cs="仿宋_GB2312"/>
          <w:sz w:val="32"/>
          <w:szCs w:val="32"/>
        </w:rPr>
        <w:t>元的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163.28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二、支出政策实施情况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Chars="0"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强化财政收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入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管理。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积极组织税收收入，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税收收入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监测、分析、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征管工作。抓好重点行业、企业和税种的征管，加大税收稽查力度，落实税费优惠政策。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严格</w:t>
      </w:r>
      <w:r>
        <w:rPr>
          <w:rFonts w:hint="eastAsia" w:ascii="仿宋_GB2312" w:hAnsi="仿宋_GB2312" w:eastAsia="仿宋_GB2312" w:cs="仿宋_GB2312"/>
          <w:sz w:val="32"/>
          <w:szCs w:val="32"/>
        </w:rPr>
        <w:t>非税收入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管理，依法依规足额征收，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在确保非税收入应收尽收的前提下，严禁虚收空转。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319" w:leftChars="152" w:right="0" w:rightChars="0" w:firstLine="321" w:firstLineChars="1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切实兜牢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“保工资、保运转、保基本民生”底线。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坚持“三保”支出在财政支出中的优先顺序，硬化预算刚性约束，严格执行预算，足额保障“三保”支出，确保“三保”不出问题。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Chars="0" w:right="0" w:righ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全力提升财政保障能力。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坚决落实“过紧日子”要求。着力优化支出结构，压缩一般性支出，全力做好开源节支工作，优先安排用于民生方面支出。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积极盘活存量资金。及时收回长期闲置资金和连续两年未用的结转结余资金，统筹用于县域经济建设支出，截至2022年末，收回存量资金余额6473万元。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加强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政府债务管理工作。严守政府性债务风险“三条红线”，着力加强风险源头管控，确保了2022年零违规举债。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全力保障做好巩固拓展脱贫攻坚成果同乡村振兴有效衔接。202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年共筹措乡村振兴补助资金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1.29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亿元。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全面加强“一卡通”管理工作。认真落实“一卡通”实名制台账管理，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2022年全年审核发放各项惠农惠民补贴6055.67万元，惠及受益群众603户6804人。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en-US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en-US"/>
        </w:rPr>
        <w:t>三、2022年结转、结余资金使用情况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Chars="0" w:right="0" w:firstLine="640" w:firstLineChars="200"/>
        <w:jc w:val="both"/>
        <w:textAlignment w:val="auto"/>
        <w:rPr>
          <w:rFonts w:hint="eastAsia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2022年使用2021年结余资金1749万元，其中：使用一般公共预算结余资金672万元；使用政府性基金结余资金1077万元。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Chars="0" w:right="0" w:firstLine="640" w:firstLineChars="200"/>
        <w:jc w:val="both"/>
        <w:textAlignment w:val="auto"/>
        <w:rPr>
          <w:color w:val="auto"/>
        </w:rPr>
      </w:pPr>
      <w:r>
        <w:rPr>
          <w:rFonts w:hint="eastAsia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2022</w:t>
      </w:r>
      <w:r>
        <w:rPr>
          <w:rFonts w:hint="default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年</w:t>
      </w:r>
      <w:r>
        <w:rPr>
          <w:rFonts w:hint="eastAsia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结转</w:t>
      </w:r>
      <w:r>
        <w:rPr>
          <w:rFonts w:hint="default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资金</w:t>
      </w:r>
      <w:r>
        <w:rPr>
          <w:rFonts w:hint="eastAsia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11990</w:t>
      </w:r>
      <w:r>
        <w:rPr>
          <w:rFonts w:hint="default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万元，</w:t>
      </w:r>
      <w:r>
        <w:rPr>
          <w:rFonts w:hint="eastAsia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其中：一般公共预算结转资金8000万元，</w:t>
      </w:r>
      <w:r>
        <w:rPr>
          <w:rFonts w:hint="default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根据</w:t>
      </w:r>
      <w:r>
        <w:rPr>
          <w:rFonts w:hint="eastAsia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专项资金使用范围、</w:t>
      </w:r>
      <w:r>
        <w:rPr>
          <w:rFonts w:hint="default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20</w:t>
      </w:r>
      <w:r>
        <w:rPr>
          <w:rFonts w:hint="eastAsia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22</w:t>
      </w:r>
      <w:r>
        <w:rPr>
          <w:rFonts w:hint="default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年政府收支分类科目的要求，</w:t>
      </w:r>
      <w:r>
        <w:rPr>
          <w:rFonts w:hint="eastAsia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结转</w:t>
      </w:r>
      <w:r>
        <w:rPr>
          <w:rFonts w:hint="default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20</w:t>
      </w:r>
      <w:r>
        <w:rPr>
          <w:rFonts w:hint="eastAsia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23</w:t>
      </w:r>
      <w:r>
        <w:rPr>
          <w:rFonts w:hint="default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年用于</w:t>
      </w:r>
      <w:r>
        <w:rPr>
          <w:rFonts w:hint="eastAsia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教育、社会保障和就业、农林水等方面支出；2022年政府性基金结转资金3990万元，根据专项基金用途及2022年政府收支分类科目的要求，结转2022年用于国有土地使用权出让、 其他政府性基金及对应专项债务收入安排的支出</w:t>
      </w:r>
      <w:r>
        <w:rPr>
          <w:rFonts w:hint="default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lang w:val="en-US" w:eastAsia="zh-CN" w:bidi="en-US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lang w:val="en-US" w:eastAsia="zh-CN" w:bidi="en-US"/>
        </w:rPr>
        <w:t>四、2022年资金结余情况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firstLine="643" w:firstLineChars="200"/>
        <w:jc w:val="left"/>
        <w:textAlignment w:val="auto"/>
        <w:rPr>
          <w:rStyle w:val="5"/>
          <w:rFonts w:hint="eastAsia" w:ascii="楷体_GB2312" w:hAnsi="楷体_GB2312" w:eastAsia="楷体_GB2312" w:cs="楷体_GB2312"/>
          <w:b/>
          <w:bCs w:val="0"/>
          <w:i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"/>
        </w:rPr>
      </w:pPr>
      <w:r>
        <w:rPr>
          <w:rStyle w:val="5"/>
          <w:rFonts w:hint="eastAsia" w:ascii="楷体_GB2312" w:hAnsi="楷体_GB2312" w:eastAsia="楷体_GB2312" w:cs="楷体_GB2312"/>
          <w:b/>
          <w:bCs w:val="0"/>
          <w:i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"/>
        </w:rPr>
        <w:t>（一）一般公共预算资金结余情况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jc w:val="both"/>
        <w:textAlignment w:val="auto"/>
        <w:rPr>
          <w:color w:val="auto"/>
        </w:rPr>
      </w:pP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一般公共预算收入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31.63亿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元，上级补助收入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10.73亿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元，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一般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债务转贷收入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1.98亿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元，上年结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余864万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，动用预算稳定调节基金0万元，</w:t>
      </w:r>
      <w:r>
        <w:rPr>
          <w:rFonts w:hint="default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收入合计</w:t>
      </w:r>
      <w:r>
        <w:rPr>
          <w:rFonts w:hint="eastAsia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44.43亿</w:t>
      </w:r>
      <w:r>
        <w:rPr>
          <w:rFonts w:hint="default" w:ascii="仿宋_GB2312" w:hAnsi="宋体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元。一般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公共</w:t>
      </w:r>
      <w:r>
        <w:rPr>
          <w:rFonts w:hint="default" w:ascii="仿宋_GB2312" w:hAnsi="宋体" w:eastAsia="仿宋_GB2312" w:cs="仿宋_GB2312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预算支出</w:t>
      </w:r>
      <w:r>
        <w:rPr>
          <w:rFonts w:hint="eastAsia" w:ascii="仿宋_GB2312" w:hAnsi="宋体" w:eastAsia="仿宋_GB2312" w:cs="宋体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22.92亿</w:t>
      </w:r>
      <w:r>
        <w:rPr>
          <w:rFonts w:hint="default" w:ascii="仿宋_GB2312" w:hAnsi="宋体" w:eastAsia="仿宋_GB2312" w:cs="宋体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元，上解上级支出</w:t>
      </w:r>
      <w:r>
        <w:rPr>
          <w:rFonts w:hint="eastAsia" w:ascii="仿宋_GB2312" w:hAnsi="宋体" w:eastAsia="仿宋_GB2312" w:cs="宋体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10.40亿</w:t>
      </w:r>
      <w:r>
        <w:rPr>
          <w:rFonts w:hint="default" w:ascii="仿宋_GB2312" w:hAnsi="宋体" w:eastAsia="仿宋_GB2312" w:cs="宋体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元，债务还本支出</w:t>
      </w:r>
      <w:r>
        <w:rPr>
          <w:rFonts w:hint="eastAsia" w:ascii="仿宋_GB2312" w:hAnsi="宋体" w:eastAsia="仿宋_GB2312" w:cs="宋体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5832万</w:t>
      </w:r>
      <w:r>
        <w:rPr>
          <w:rFonts w:hint="default" w:ascii="仿宋_GB2312" w:hAnsi="宋体" w:eastAsia="仿宋_GB2312" w:cs="宋体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元，</w:t>
      </w:r>
      <w:r>
        <w:rPr>
          <w:rFonts w:hint="eastAsia" w:ascii="仿宋_GB2312" w:hAnsi="宋体" w:eastAsia="仿宋_GB2312" w:cs="宋体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安排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预算稳定调节基金9.73亿元，</w:t>
      </w:r>
      <w:r>
        <w:rPr>
          <w:rFonts w:hint="default" w:ascii="仿宋_GB2312" w:hAnsi="宋体" w:eastAsia="仿宋_GB2312" w:cs="宋体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结转下年支出</w:t>
      </w:r>
      <w:r>
        <w:rPr>
          <w:rFonts w:hint="eastAsia" w:ascii="仿宋_GB2312" w:hAnsi="宋体" w:eastAsia="仿宋_GB2312" w:cs="宋体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8000万</w:t>
      </w:r>
      <w:r>
        <w:rPr>
          <w:rFonts w:hint="default" w:ascii="仿宋_GB2312" w:hAnsi="宋体" w:eastAsia="仿宋_GB2312" w:cs="宋体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元，支出合计</w:t>
      </w:r>
      <w:r>
        <w:rPr>
          <w:rFonts w:hint="eastAsia" w:ascii="仿宋_GB2312" w:hAnsi="宋体" w:eastAsia="仿宋_GB2312" w:cs="宋体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44.43亿</w:t>
      </w:r>
      <w:r>
        <w:rPr>
          <w:rFonts w:hint="default" w:ascii="仿宋_GB2312" w:hAnsi="宋体" w:eastAsia="仿宋_GB2312" w:cs="宋体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元。收支相抵，净结余为零。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Chars="0" w:right="0" w:rightChars="0" w:firstLine="643" w:firstLineChars="200"/>
        <w:jc w:val="left"/>
        <w:textAlignment w:val="auto"/>
        <w:rPr>
          <w:rStyle w:val="5"/>
          <w:rFonts w:hint="eastAsia" w:ascii="楷体_GB2312" w:hAnsi="楷体_GB2312" w:eastAsia="楷体_GB2312" w:cs="楷体_GB2312"/>
          <w:b/>
          <w:bCs w:val="0"/>
          <w:i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"/>
        </w:rPr>
      </w:pPr>
      <w:r>
        <w:rPr>
          <w:rStyle w:val="5"/>
          <w:rFonts w:hint="eastAsia" w:ascii="楷体_GB2312" w:hAnsi="楷体_GB2312" w:eastAsia="楷体_GB2312" w:cs="楷体_GB2312"/>
          <w:b/>
          <w:bCs w:val="0"/>
          <w:i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"/>
        </w:rPr>
        <w:t>（二）政府性基金预算资金结余情况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</w:pP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政府性基金预算收入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1.13亿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元，上级补助收入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1218万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元，上年结余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1077万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元，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专项债务转贷收入3.50亿元，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收入合计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4.86亿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元。政府性基金预算支出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4.18亿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，</w:t>
      </w:r>
      <w:r>
        <w:rPr>
          <w:rFonts w:hint="default" w:ascii="仿宋_GB2312" w:hAnsi="宋体" w:eastAsia="仿宋_GB2312" w:cs="宋体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债务还本支出</w:t>
      </w:r>
      <w:r>
        <w:rPr>
          <w:rFonts w:hint="eastAsia" w:ascii="仿宋_GB2312" w:hAnsi="宋体" w:eastAsia="仿宋_GB2312" w:cs="宋体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2750万</w:t>
      </w:r>
      <w:r>
        <w:rPr>
          <w:rFonts w:hint="default" w:ascii="仿宋_GB2312" w:hAnsi="宋体" w:eastAsia="仿宋_GB2312" w:cs="宋体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元，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结转下年支出3990万元，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支出合计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4.86亿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元。收支相抵，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净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结余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为零。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en-US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en-US"/>
        </w:rPr>
        <w:t>五、财政转移支付安排执行情况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firstLine="643" w:firstLineChars="200"/>
        <w:jc w:val="left"/>
        <w:textAlignment w:val="auto"/>
        <w:rPr>
          <w:rStyle w:val="5"/>
          <w:rFonts w:hint="eastAsia" w:ascii="楷体_GB2312" w:hAnsi="楷体_GB2312" w:eastAsia="楷体_GB2312" w:cs="楷体_GB2312"/>
          <w:b/>
          <w:bCs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</w:pPr>
      <w:r>
        <w:rPr>
          <w:rStyle w:val="5"/>
          <w:rFonts w:hint="eastAsia" w:ascii="楷体_GB2312" w:hAnsi="楷体_GB2312" w:eastAsia="楷体_GB2312" w:cs="楷体_GB2312"/>
          <w:b/>
          <w:bCs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（一）一般公共预算上级财政补助资金的安排和使用情况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firstLine="672" w:firstLineChars="200"/>
        <w:jc w:val="both"/>
        <w:textAlignment w:val="auto"/>
        <w:rPr>
          <w:rFonts w:hint="default"/>
          <w:color w:val="auto"/>
          <w:lang w:val="en"/>
        </w:rPr>
      </w:pPr>
      <w:r>
        <w:rPr>
          <w:rFonts w:hint="default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20</w:t>
      </w:r>
      <w:r>
        <w:rPr>
          <w:rFonts w:hint="eastAsia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22</w:t>
      </w:r>
      <w:r>
        <w:rPr>
          <w:rFonts w:hint="default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年上级</w:t>
      </w:r>
      <w:r>
        <w:rPr>
          <w:rFonts w:hint="eastAsia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补助</w:t>
      </w:r>
      <w:r>
        <w:rPr>
          <w:rFonts w:hint="default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一般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公共预算转移支付</w:t>
      </w:r>
      <w:r>
        <w:rPr>
          <w:rFonts w:hint="default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补助收入</w:t>
      </w:r>
      <w:r>
        <w:rPr>
          <w:rFonts w:hint="eastAsia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10.73亿</w:t>
      </w:r>
      <w:r>
        <w:rPr>
          <w:rFonts w:hint="default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元，其中:</w:t>
      </w:r>
      <w:r>
        <w:rPr>
          <w:rFonts w:hint="default" w:ascii="仿宋_GB2312" w:hAnsi="Arial" w:eastAsia="仿宋_GB2312" w:cs="仿宋_GB2312"/>
          <w:b w:val="0"/>
          <w:i w:val="0"/>
          <w:color w:val="auto"/>
          <w:spacing w:val="4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返还性收入</w:t>
      </w:r>
      <w:r>
        <w:rPr>
          <w:rFonts w:hint="eastAsia" w:ascii="仿宋_GB2312" w:hAnsi="Arial" w:eastAsia="仿宋_GB2312" w:cs="仿宋_GB2312"/>
          <w:b w:val="0"/>
          <w:i w:val="0"/>
          <w:color w:val="auto"/>
          <w:spacing w:val="4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2348万</w:t>
      </w:r>
      <w:r>
        <w:rPr>
          <w:rFonts w:hint="default" w:ascii="仿宋_GB2312" w:hAnsi="Arial" w:eastAsia="仿宋_GB2312" w:cs="仿宋_GB2312"/>
          <w:b w:val="0"/>
          <w:i w:val="0"/>
          <w:color w:val="auto"/>
          <w:spacing w:val="4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元，一般性转移支付收入</w:t>
      </w:r>
      <w:r>
        <w:rPr>
          <w:rFonts w:hint="eastAsia" w:ascii="仿宋_GB2312" w:hAnsi="Arial" w:eastAsia="仿宋_GB2312" w:cs="仿宋_GB2312"/>
          <w:b w:val="0"/>
          <w:i w:val="0"/>
          <w:color w:val="auto"/>
          <w:spacing w:val="4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10.28亿</w:t>
      </w:r>
      <w:r>
        <w:rPr>
          <w:rFonts w:hint="default" w:ascii="仿宋_GB2312" w:hAnsi="Arial" w:eastAsia="仿宋_GB2312" w:cs="仿宋_GB2312"/>
          <w:b w:val="0"/>
          <w:i w:val="0"/>
          <w:color w:val="auto"/>
          <w:spacing w:val="4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元，</w:t>
      </w:r>
      <w:r>
        <w:rPr>
          <w:rFonts w:hint="default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专项</w:t>
      </w:r>
      <w:r>
        <w:rPr>
          <w:rFonts w:hint="default" w:ascii="仿宋_GB2312" w:hAnsi="Arial" w:eastAsia="仿宋_GB2312" w:cs="仿宋_GB2312"/>
          <w:b w:val="0"/>
          <w:i w:val="0"/>
          <w:color w:val="auto"/>
          <w:spacing w:val="4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转移支付收入</w:t>
      </w:r>
      <w:r>
        <w:rPr>
          <w:rFonts w:hint="eastAsia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2193万</w:t>
      </w:r>
      <w:r>
        <w:rPr>
          <w:rFonts w:hint="default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元。上级补助收</w:t>
      </w:r>
      <w:r>
        <w:rPr>
          <w:rFonts w:hint="eastAsia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入按照要求专款专用</w:t>
      </w:r>
      <w:r>
        <w:rPr>
          <w:rFonts w:hint="default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：</w:t>
      </w:r>
      <w:r>
        <w:rPr>
          <w:rStyle w:val="5"/>
          <w:rFonts w:hint="default" w:ascii="仿宋_GB2312" w:hAnsi="Arial" w:eastAsia="仿宋_GB2312" w:cs="仿宋_GB2312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一是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按照上级补助资金用途拨付人员工资、津贴补贴、社会保险缴费、冬季取暖费、住房公积金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等。</w:t>
      </w:r>
      <w:r>
        <w:rPr>
          <w:rStyle w:val="5"/>
          <w:rFonts w:hint="default" w:ascii="仿宋_GB2312" w:hAnsi="Arial" w:eastAsia="仿宋_GB2312" w:cs="仿宋_GB2312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二是</w:t>
      </w:r>
      <w:r>
        <w:rPr>
          <w:rFonts w:hint="default" w:ascii="仿宋_GB2312" w:hAnsi="Arial" w:eastAsia="仿宋_GB2312" w:cs="Arial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拨付各项</w:t>
      </w:r>
      <w:r>
        <w:rPr>
          <w:rFonts w:hint="eastAsia" w:ascii="仿宋_GB2312" w:hAnsi="Arial" w:eastAsia="仿宋_GB2312" w:cs="Arial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专项资金</w:t>
      </w:r>
      <w:r>
        <w:rPr>
          <w:rFonts w:hint="default" w:ascii="仿宋_GB2312" w:hAnsi="Arial" w:eastAsia="仿宋_GB2312" w:cs="Arial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，主要涉及教育、卫生</w:t>
      </w:r>
      <w:r>
        <w:rPr>
          <w:rFonts w:hint="eastAsia" w:ascii="仿宋_GB2312" w:hAnsi="Arial" w:eastAsia="仿宋_GB2312" w:cs="Arial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健康</w:t>
      </w:r>
      <w:r>
        <w:rPr>
          <w:rFonts w:hint="default" w:ascii="仿宋_GB2312" w:hAnsi="Arial" w:eastAsia="仿宋_GB2312" w:cs="Arial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、社会保障、农林水</w:t>
      </w:r>
      <w:r>
        <w:rPr>
          <w:rFonts w:hint="eastAsia" w:ascii="仿宋_GB2312" w:hAnsi="Arial" w:eastAsia="仿宋_GB2312" w:cs="Arial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事务、文化旅游体育与传媒、交通运输</w:t>
      </w:r>
      <w:r>
        <w:rPr>
          <w:rFonts w:hint="default" w:ascii="仿宋_GB2312" w:hAnsi="Arial" w:eastAsia="仿宋_GB2312" w:cs="Arial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等方面。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firstLine="643" w:firstLineChars="200"/>
        <w:jc w:val="left"/>
        <w:textAlignment w:val="auto"/>
        <w:rPr>
          <w:rStyle w:val="5"/>
          <w:rFonts w:hint="eastAsia" w:ascii="楷体_GB2312" w:hAnsi="楷体_GB2312" w:eastAsia="楷体_GB2312" w:cs="楷体_GB2312"/>
          <w:b/>
          <w:bCs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</w:pPr>
      <w:r>
        <w:rPr>
          <w:rStyle w:val="5"/>
          <w:rFonts w:hint="eastAsia" w:ascii="楷体_GB2312" w:hAnsi="楷体_GB2312" w:eastAsia="楷体_GB2312" w:cs="楷体_GB2312"/>
          <w:b/>
          <w:bCs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（二）政府性基金预算上级财政补助资金的安排和使用情况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firstLine="672" w:firstLineChars="200"/>
        <w:jc w:val="both"/>
        <w:textAlignment w:val="auto"/>
        <w:rPr>
          <w:color w:val="auto"/>
        </w:rPr>
      </w:pPr>
      <w:r>
        <w:rPr>
          <w:rFonts w:hint="default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20</w:t>
      </w:r>
      <w:r>
        <w:rPr>
          <w:rFonts w:hint="eastAsia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22</w:t>
      </w:r>
      <w:r>
        <w:rPr>
          <w:rFonts w:hint="default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年上级</w:t>
      </w:r>
      <w:r>
        <w:rPr>
          <w:rFonts w:hint="eastAsia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补助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政府性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基金</w:t>
      </w:r>
      <w:r>
        <w:rPr>
          <w:rFonts w:hint="default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专项转移支付补助收入</w:t>
      </w:r>
      <w:r>
        <w:rPr>
          <w:rFonts w:hint="eastAsia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1218万</w:t>
      </w:r>
      <w:r>
        <w:rPr>
          <w:rFonts w:hint="default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元，</w:t>
      </w:r>
      <w:r>
        <w:rPr>
          <w:rFonts w:hint="eastAsia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我县按照要求专款专用</w:t>
      </w:r>
      <w:r>
        <w:rPr>
          <w:rFonts w:hint="default" w:ascii="仿宋_GB2312" w:hAnsi="宋体" w:eastAsia="仿宋_GB2312" w:cs="仿宋_GB2312"/>
          <w:b w:val="0"/>
          <w:i w:val="0"/>
          <w:color w:val="auto"/>
          <w:spacing w:val="8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，</w:t>
      </w:r>
      <w:r>
        <w:rPr>
          <w:rFonts w:hint="default" w:ascii="仿宋_GB2312" w:hAnsi="Arial" w:eastAsia="仿宋_GB2312" w:cs="Arial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主要涉及</w:t>
      </w:r>
      <w:r>
        <w:rPr>
          <w:rFonts w:hint="eastAsia" w:ascii="仿宋_GB2312" w:hAnsi="Arial" w:eastAsia="仿宋_GB2312" w:cs="Arial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大中型水库移民后期扶持资金、彩票公益金</w:t>
      </w:r>
      <w:r>
        <w:rPr>
          <w:rFonts w:hint="default" w:ascii="仿宋_GB2312" w:hAnsi="Arial" w:eastAsia="仿宋_GB2312" w:cs="Arial"/>
          <w:b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en-US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en-US"/>
        </w:rPr>
        <w:t>六、超收、短收收入安排情况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firstLine="643" w:firstLineChars="200"/>
        <w:jc w:val="left"/>
        <w:textAlignment w:val="auto"/>
        <w:rPr>
          <w:rStyle w:val="5"/>
          <w:rFonts w:hint="eastAsia" w:ascii="楷体_GB2312" w:hAnsi="楷体_GB2312" w:eastAsia="楷体_GB2312" w:cs="楷体_GB2312"/>
          <w:b w:val="0"/>
          <w:bCs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</w:pPr>
      <w:r>
        <w:rPr>
          <w:rStyle w:val="5"/>
          <w:rFonts w:hint="eastAsia" w:ascii="楷体_GB2312" w:hAnsi="楷体_GB2312" w:eastAsia="楷体_GB2312" w:cs="楷体_GB2312"/>
          <w:b/>
          <w:bCs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（一）一般公共预算收入本年超、短收安排和使用情况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 w:bidi="en-US"/>
        </w:rPr>
      </w:pP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一般公共预算收入年初预算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13.66亿元，调整预算31.66亿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元，实际完成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31.63亿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元，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短</w:t>
      </w:r>
      <w:r>
        <w:rPr>
          <w:rFonts w:hint="default" w:ascii="仿宋_GB2312" w:hAnsi="ˎ̥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收</w:t>
      </w:r>
      <w:r>
        <w:rPr>
          <w:rFonts w:hint="eastAsia" w:ascii="仿宋_GB2312" w:hAnsi="ˎ̥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305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万元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，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坚持有多少钱办多少事、办要紧事，进一步调优支出结构，</w:t>
      </w:r>
      <w:r>
        <w:rPr>
          <w:rFonts w:ascii="Times New Roman" w:hAnsi="Times New Roman" w:eastAsia="仿宋_GB2312" w:cs="Times New Roman"/>
          <w:color w:val="auto"/>
          <w:sz w:val="32"/>
          <w:szCs w:val="32"/>
          <w:lang w:bidi="en-US"/>
        </w:rPr>
        <w:t>从严控制非急需、非刚性支出，严格控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  <w:lang w:bidi="en-US"/>
        </w:rPr>
        <w:t>制各类活动，做到“三公”经</w:t>
      </w:r>
      <w:r>
        <w:rPr>
          <w:rFonts w:ascii="Times New Roman" w:hAnsi="Times New Roman" w:eastAsia="仿宋_GB2312" w:cs="Times New Roman"/>
          <w:color w:val="auto"/>
          <w:sz w:val="32"/>
          <w:szCs w:val="32"/>
          <w:lang w:bidi="en-US"/>
        </w:rPr>
        <w:t>费只减不增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 w:bidi="en-US"/>
        </w:rPr>
        <w:t>，保证了预算执行的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en-US"/>
        </w:rPr>
        <w:t>稳定、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 w:bidi="en-US"/>
        </w:rPr>
        <w:t>平衡。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firstLine="643" w:firstLineChars="200"/>
        <w:jc w:val="left"/>
        <w:textAlignment w:val="auto"/>
        <w:rPr>
          <w:rStyle w:val="5"/>
          <w:rFonts w:hint="eastAsia" w:ascii="楷体_GB2312" w:hAnsi="楷体_GB2312" w:eastAsia="楷体_GB2312" w:cs="楷体_GB2312"/>
          <w:b/>
          <w:bCs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</w:pPr>
      <w:r>
        <w:rPr>
          <w:rStyle w:val="5"/>
          <w:rFonts w:hint="eastAsia" w:ascii="楷体_GB2312" w:hAnsi="楷体_GB2312" w:eastAsia="楷体_GB2312" w:cs="楷体_GB2312"/>
          <w:b/>
          <w:bCs w:val="0"/>
          <w:i w:val="0"/>
          <w:color w:val="auto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（二）政府性基金预算收入本年超、短收安排和使用情况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Chars="0" w:right="0" w:rightChars="0" w:firstLine="640" w:firstLineChars="200"/>
        <w:jc w:val="left"/>
        <w:textAlignment w:val="auto"/>
        <w:rPr>
          <w:rFonts w:hint="default" w:ascii="仿宋_GB2312" w:hAnsi="ˎ̥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</w:pPr>
      <w:r>
        <w:rPr>
          <w:rFonts w:hint="eastAsia" w:ascii="仿宋_GB2312" w:hAnsi="ˎ̥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地方</w:t>
      </w:r>
      <w:r>
        <w:rPr>
          <w:rFonts w:hint="default" w:ascii="仿宋_GB2312" w:hAnsi="ˎ̥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政府性基金预算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收入年初预算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1.28亿元，调整预算数1.28亿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元，实际完成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1.13亿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元，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短收</w:t>
      </w:r>
      <w:r>
        <w:rPr>
          <w:rFonts w:hint="eastAsia" w:ascii="仿宋_GB2312" w:hAnsi="ˎ̥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1511</w:t>
      </w:r>
      <w:r>
        <w:rPr>
          <w:rFonts w:hint="default" w:ascii="仿宋_GB2312" w:hAnsi="ˎ̥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万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元</w:t>
      </w:r>
      <w:r>
        <w:rPr>
          <w:rFonts w:hint="default" w:ascii="仿宋_GB2312" w:hAnsi="ˎ̥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七、三公经费支出情况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伊吾县本级“三公”经费拨款支出合计377万元，较上年减少71万元，下降15.85%。我县继续贯彻执行中央自治区有关落实厉行节约，反对铺张浪费规定，各单位采取多种措施，降低支出，进一步压减“三公经费”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八、本级预备费使用情况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2022年年初预算预备费1500万元，当年全部支出，主要用于公共卫生支出（疫情支出）。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仿宋_GB2312" w:hAnsi="ˎ̥" w:eastAsia="仿宋_GB2312" w:cs="仿宋_GB2312"/>
          <w:b w:val="0"/>
          <w:i w:val="0"/>
          <w:color w:val="auto"/>
          <w:kern w:val="2"/>
          <w:sz w:val="32"/>
          <w:szCs w:val="32"/>
          <w:highlight w:val="none"/>
          <w:u w:val="none"/>
          <w:shd w:val="clear" w:color="auto" w:fill="FFFFFF"/>
          <w:lang w:val="en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en-US"/>
        </w:rPr>
        <w:t>九、本级预算稳定调节基金使用情况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2022年预算稳定调节基金年初余额505万元，当年安排9.73亿元，年末余额9.78亿元，统筹用于弥补预算调整短收项目的支出。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十、政府债务基本情况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2022年末政府债务限额为32.41亿元，其中一般债务限额19.01亿元，专项债务限额1.34亿元。2022年末</w:t>
      </w:r>
      <w:r>
        <w:rPr>
          <w:rFonts w:hint="eastAsia" w:ascii="仿宋_GB2312" w:hAnsi="仿宋_GB2312" w:eastAsia="仿宋_GB2312" w:cs="仿宋_GB2312"/>
          <w:sz w:val="32"/>
          <w:szCs w:val="32"/>
        </w:rPr>
        <w:t>伊吾县地方政府债务余额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29.45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其中：一般债务余额16.05亿元，专项债务余额1.34亿元。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新增</w:t>
      </w:r>
      <w:r>
        <w:rPr>
          <w:rFonts w:hint="eastAsia" w:ascii="仿宋_GB2312" w:hAnsi="仿宋_GB2312" w:eastAsia="仿宋_GB2312" w:cs="仿宋_GB2312"/>
          <w:sz w:val="32"/>
          <w:szCs w:val="32"/>
        </w:rPr>
        <w:t>地方政府债务(转贷)收入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5.48亿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，其中：</w:t>
      </w:r>
      <w:r>
        <w:rPr>
          <w:rFonts w:hint="eastAsia" w:ascii="仿宋_GB2312" w:hAnsi="仿宋_GB2312" w:eastAsia="仿宋_GB2312" w:cs="仿宋_GB2312"/>
          <w:sz w:val="32"/>
          <w:szCs w:val="32"/>
        </w:rPr>
        <w:t>新增一般债券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1.98亿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新增专项债券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3.50亿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" w:eastAsia="zh-CN" w:bidi="ar"/>
        </w:rPr>
      </w:pP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本年地方政府债务还本支出金额8582万元，债务利息支出9627万元，其中：20</w:t>
      </w:r>
      <w:r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2</w:t>
      </w: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2年应付地方政府债券利息9494万元，外债应付债务利息133万元。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</w:pP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主任、各位副主任，各位委员：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" w:eastAsia="zh-CN" w:bidi="ar"/>
        </w:rPr>
      </w:pPr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今后，我们将更加紧密的团结在以习近平同志为核心的党中央周围，高举中国特色社会主义伟大旗帜，坚持以习近平新时代中国特色社会主义思想为指导，深入学习二十大精神，贯彻落实第三次中央新疆工作座谈会精神，贯彻落实习近平同志视察新疆重要讲话重要指示精神，按照县委、县政府的决策部署，进一步强化支出管理，按照“保基本、兜底线”原则，严守“三保”底线，全面落实保工资、保运转、保基本民生支出兜底责任，足额安排“三保”预算支出，确保财政稳定运行</w:t>
      </w:r>
      <w:bookmarkStart w:id="0" w:name="_GoBack"/>
      <w:bookmarkEnd w:id="0"/>
      <w:r>
        <w:rPr>
          <w:rFonts w:hint="eastAsia" w:ascii="仿宋_GB2312" w:hAnsi="Arial" w:eastAsia="仿宋_GB2312" w:cs="仿宋_GB2312"/>
          <w:b w:val="0"/>
          <w:i w:val="0"/>
          <w:color w:val="auto"/>
          <w:kern w:val="2"/>
          <w:sz w:val="32"/>
          <w:szCs w:val="32"/>
          <w:u w:val="none"/>
          <w:shd w:val="clear" w:color="auto" w:fill="FFFFFF"/>
          <w:lang w:val="en-US" w:eastAsia="zh-CN" w:bidi="ar"/>
        </w:rPr>
        <w:t>；牢固树立过“紧日子”思想，坚持“有多少钱办多少事，集中财力办大事”的原则，着力提高民生支出比重，严格财经纪律，严格把好“三公”经费关，严禁超范围、超标准安排的支出。自觉接受县人大的指导监督、认真贯彻执行本次会议审查意见，积极发挥财政职能作用，增强全局观念，担当实干，为推动伊吾县经济高质量发展做出应有的贡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rPr>
          <w:rFonts w:hint="eastAsia" w:ascii="仿宋_GB2312" w:hAnsi="ˎ̥" w:eastAsia="仿宋_GB2312" w:cs="仿宋_GB2312"/>
          <w:b w:val="0"/>
          <w:i w:val="0"/>
          <w:color w:val="auto"/>
          <w:kern w:val="2"/>
          <w:sz w:val="32"/>
          <w:szCs w:val="32"/>
          <w:highlight w:val="none"/>
          <w:u w:val="none"/>
          <w:shd w:val="clear" w:color="auto" w:fill="FFFFFF"/>
          <w:lang w:val="en-US" w:eastAsia="zh-CN" w:bidi="ar"/>
        </w:rPr>
      </w:pPr>
      <w:r>
        <w:rPr>
          <w:rFonts w:hint="eastAsia" w:ascii="仿宋_GB2312" w:hAnsi="ˎ̥" w:eastAsia="仿宋_GB2312" w:cs="仿宋_GB2312"/>
          <w:b w:val="0"/>
          <w:i w:val="0"/>
          <w:color w:val="auto"/>
          <w:kern w:val="2"/>
          <w:sz w:val="32"/>
          <w:szCs w:val="32"/>
          <w:highlight w:val="none"/>
          <w:u w:val="none"/>
          <w:shd w:val="clear" w:color="auto" w:fill="FFFFFF"/>
          <w:lang w:val="en-US" w:eastAsia="zh-CN" w:bidi="ar"/>
        </w:rPr>
        <w:t xml:space="preserve">  </w:t>
      </w:r>
    </w:p>
    <w:p>
      <w:pPr>
        <w:ind w:firstLine="5760" w:firstLineChars="1800"/>
        <w:rPr>
          <w:rFonts w:hint="eastAsia" w:ascii="仿宋_GB2312" w:hAnsi="ˎ̥" w:eastAsia="仿宋_GB2312" w:cs="仿宋_GB2312"/>
          <w:b w:val="0"/>
          <w:i w:val="0"/>
          <w:color w:val="auto"/>
          <w:kern w:val="2"/>
          <w:sz w:val="32"/>
          <w:szCs w:val="32"/>
          <w:highlight w:val="none"/>
          <w:u w:val="none"/>
          <w:shd w:val="clear" w:color="auto" w:fill="FFFFFF"/>
          <w:lang w:val="en-US" w:eastAsia="zh-CN" w:bidi="ar"/>
        </w:rPr>
      </w:pPr>
    </w:p>
    <w:p>
      <w:pPr>
        <w:ind w:firstLine="5760" w:firstLineChars="1800"/>
        <w:rPr>
          <w:rFonts w:hint="eastAsia" w:ascii="仿宋_GB2312" w:hAnsi="ˎ̥" w:eastAsia="仿宋_GB2312" w:cs="仿宋_GB2312"/>
          <w:b w:val="0"/>
          <w:i w:val="0"/>
          <w:color w:val="auto"/>
          <w:kern w:val="2"/>
          <w:sz w:val="32"/>
          <w:szCs w:val="32"/>
          <w:highlight w:val="none"/>
          <w:u w:val="none"/>
          <w:shd w:val="clear" w:color="auto" w:fill="FFFFFF"/>
          <w:lang w:val="en-US" w:eastAsia="zh-CN" w:bidi="ar"/>
        </w:rPr>
      </w:pPr>
    </w:p>
    <w:p>
      <w:pPr>
        <w:ind w:firstLine="5760" w:firstLineChars="1800"/>
        <w:rPr>
          <w:rFonts w:hint="eastAsia" w:ascii="仿宋_GB2312" w:hAnsi="ˎ̥" w:eastAsia="仿宋_GB2312" w:cs="仿宋_GB2312"/>
          <w:b w:val="0"/>
          <w:i w:val="0"/>
          <w:color w:val="auto"/>
          <w:kern w:val="2"/>
          <w:sz w:val="32"/>
          <w:szCs w:val="32"/>
          <w:highlight w:val="none"/>
          <w:u w:val="none"/>
          <w:shd w:val="clear" w:color="auto" w:fill="FFFFFF"/>
          <w:lang w:val="en-US" w:eastAsia="zh-CN" w:bidi="ar"/>
        </w:rPr>
      </w:pPr>
      <w:r>
        <w:rPr>
          <w:rFonts w:hint="eastAsia" w:ascii="仿宋_GB2312" w:hAnsi="ˎ̥" w:eastAsia="仿宋_GB2312" w:cs="仿宋_GB2312"/>
          <w:b w:val="0"/>
          <w:i w:val="0"/>
          <w:color w:val="auto"/>
          <w:kern w:val="2"/>
          <w:sz w:val="32"/>
          <w:szCs w:val="32"/>
          <w:highlight w:val="none"/>
          <w:u w:val="none"/>
          <w:shd w:val="clear" w:color="auto" w:fill="FFFFFF"/>
          <w:lang w:val="en-US" w:eastAsia="zh-CN" w:bidi="ar"/>
        </w:rPr>
        <w:t>伊吾县财政局</w:t>
      </w:r>
    </w:p>
    <w:p>
      <w:pPr>
        <w:keepNext w:val="0"/>
        <w:keepLines w:val="0"/>
        <w:pageBreakBefore w:val="0"/>
        <w:widowControl w:val="0"/>
        <w:tabs>
          <w:tab w:val="left" w:pos="51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2023年7月6日</w:t>
      </w:r>
    </w:p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E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ˎ̥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160B5E"/>
    <w:rsid w:val="0BC852BD"/>
    <w:rsid w:val="0EA55CD0"/>
    <w:rsid w:val="17E83633"/>
    <w:rsid w:val="1CA769C2"/>
    <w:rsid w:val="1ED64293"/>
    <w:rsid w:val="20AC6037"/>
    <w:rsid w:val="24160B5E"/>
    <w:rsid w:val="45977346"/>
    <w:rsid w:val="483C11E1"/>
    <w:rsid w:val="4B553783"/>
    <w:rsid w:val="5C2848E4"/>
    <w:rsid w:val="65335198"/>
    <w:rsid w:val="6AE32D7B"/>
    <w:rsid w:val="6D763B80"/>
    <w:rsid w:val="6E2D0091"/>
    <w:rsid w:val="736D7012"/>
    <w:rsid w:val="79B9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widowControl w:val="0"/>
      <w:adjustRightInd/>
      <w:snapToGrid/>
      <w:spacing w:after="0"/>
      <w:ind w:left="116"/>
      <w:jc w:val="both"/>
      <w:outlineLvl w:val="2"/>
    </w:pPr>
    <w:rPr>
      <w:rFonts w:ascii="宋体" w:hAnsi="宋体" w:eastAsia="宋体" w:cs="Times New Roman"/>
      <w:kern w:val="2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p0"/>
    <w:basedOn w:val="1"/>
    <w:qFormat/>
    <w:uiPriority w:val="0"/>
    <w:pPr>
      <w:widowControl/>
      <w:jc w:val="left"/>
    </w:pPr>
    <w:rPr>
      <w:rFonts w:ascii="Calibri" w:hAnsi="Calibri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2023-07-06T08:42:00Z</dcterms:created>
  <dc:creator>Administrator</dc:creator>
  <cp:lastModifiedBy>Administrator</cp:lastModifiedBy>
  <cp:lastPrinted>2023-07-06T11:43:00Z</cp:lastPrinted>
  <dcterms:modified xsi:type="dcterms:W3CDTF">2024-09-23T09:33:38Z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96B3D2A2989B4350820A62C734A5E39B</vt:lpwstr>
  </property>
</Properties>
</file>