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_GBK" w:hAnsi="方正小标宋_GBK" w:eastAsia="方正小标宋_GBK" w:cs="方正小标宋_GBK"/>
          <w:b w:val="0"/>
          <w:bCs w:val="0"/>
          <w:sz w:val="44"/>
          <w:szCs w:val="44"/>
          <w:lang w:val="en-US" w:eastAsia="zh-CN"/>
        </w:rPr>
      </w:pPr>
    </w:p>
    <w:p>
      <w:pPr>
        <w:pStyle w:val="5"/>
        <w:keepNext/>
        <w:keepLines/>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_GBK" w:hAnsi="方正小标宋_GBK" w:eastAsia="方正小标宋_GBK" w:cs="方正小标宋_GBK"/>
          <w:b w:val="0"/>
          <w:bCs w:val="0"/>
          <w:sz w:val="44"/>
          <w:szCs w:val="44"/>
          <w:lang w:val="en-US" w:eastAsia="zh-CN"/>
        </w:rPr>
      </w:pPr>
    </w:p>
    <w:p>
      <w:pPr>
        <w:pStyle w:val="5"/>
        <w:keepNext/>
        <w:keepLines/>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关于伊吾县</w:t>
      </w:r>
      <w:r>
        <w:rPr>
          <w:rFonts w:hint="eastAsia" w:ascii="方正小标宋_GBK" w:hAnsi="方正小标宋_GBK" w:eastAsia="方正小标宋_GBK" w:cs="方正小标宋_GBK"/>
          <w:b w:val="0"/>
          <w:bCs w:val="0"/>
          <w:sz w:val="44"/>
          <w:szCs w:val="44"/>
        </w:rPr>
        <w:t>202</w:t>
      </w:r>
      <w:r>
        <w:rPr>
          <w:rFonts w:hint="eastAsia" w:ascii="方正小标宋_GBK" w:hAnsi="方正小标宋_GBK" w:eastAsia="方正小标宋_GBK" w:cs="方正小标宋_GBK"/>
          <w:b w:val="0"/>
          <w:bCs w:val="0"/>
          <w:sz w:val="44"/>
          <w:szCs w:val="44"/>
          <w:lang w:val="en-US" w:eastAsia="zh-CN"/>
        </w:rPr>
        <w:t>2</w:t>
      </w:r>
      <w:r>
        <w:rPr>
          <w:rFonts w:hint="eastAsia" w:ascii="方正小标宋_GBK" w:hAnsi="方正小标宋_GBK" w:eastAsia="方正小标宋_GBK" w:cs="方正小标宋_GBK"/>
          <w:b w:val="0"/>
          <w:bCs w:val="0"/>
          <w:sz w:val="44"/>
          <w:szCs w:val="44"/>
        </w:rPr>
        <w:t>年度全面实施预算绩效管理</w:t>
      </w:r>
    </w:p>
    <w:p>
      <w:pPr>
        <w:pStyle w:val="5"/>
        <w:keepNext/>
        <w:keepLines/>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总结报告</w:t>
      </w:r>
    </w:p>
    <w:p>
      <w:pPr>
        <w:pageBreakBefore w:val="0"/>
        <w:widowControl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为全面实施预算绩效管理，建立科学、合理的项目支出绩效评价管理体系，提高财政资源配置效率和使用效益，根据《中华人民共和国预算法》、《中共中央国务院关于全面实施预算绩效管理的意见》，深入贯彻财政部《项目支出绩效评价管理办法》（财预[2020]10号）以及自治区财政厅《关于印发《自治区全面实施预算绩效管理的工作方案》的通知》（新财预〔2018〕158号）相关文件精神，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年伊吾县财政局</w:t>
      </w:r>
      <w:r>
        <w:rPr>
          <w:rFonts w:hint="eastAsia" w:ascii="仿宋_GB2312" w:hAnsi="仿宋_GB2312" w:eastAsia="仿宋_GB2312" w:cs="仿宋_GB2312"/>
          <w:sz w:val="32"/>
          <w:szCs w:val="32"/>
          <w:lang w:val="en-US" w:eastAsia="zh-CN"/>
        </w:rPr>
        <w:t>持续</w:t>
      </w:r>
      <w:r>
        <w:rPr>
          <w:rFonts w:hint="eastAsia" w:ascii="仿宋_GB2312" w:hAnsi="仿宋_GB2312" w:eastAsia="仿宋_GB2312" w:cs="仿宋_GB2312"/>
          <w:sz w:val="32"/>
          <w:szCs w:val="32"/>
        </w:rPr>
        <w:t>开展预算绩效管理工作，不断改进、持续加强对各部门单位、所有财政资金</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全面预算绩效管理，建成全方位、全过程、全覆盖的预算绩效管理体系。</w:t>
      </w:r>
      <w:r>
        <w:rPr>
          <w:rFonts w:hint="eastAsia" w:ascii="仿宋_GB2312" w:hAnsi="仿宋_GB2312" w:eastAsia="仿宋_GB2312" w:cs="仿宋_GB2312"/>
          <w:sz w:val="32"/>
          <w:szCs w:val="32"/>
          <w:lang w:val="en-US" w:eastAsia="zh-CN"/>
        </w:rPr>
        <w:t>现将伊吾县2022年预算绩效管理情况汇报如下：</w:t>
      </w:r>
    </w:p>
    <w:p>
      <w:pPr>
        <w:pStyle w:val="5"/>
        <w:keepNext/>
        <w:keepLines/>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、年度预算绩效工作组织开展情况</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（一）覆盖范围</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绩效评价范围包括纳入政府预算管理的所有项目支出。</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（二）开展方式</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方法</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1、开展方式：主要采用了解情况、收集资料、实地勘察、情况核查、问卷调查等方式；</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2、开展方法：</w:t>
      </w:r>
      <w:r>
        <w:rPr>
          <w:rFonts w:hint="eastAsia" w:ascii="仿宋_GB2312" w:hAnsi="仿宋_GB2312" w:eastAsia="仿宋_GB2312" w:cs="仿宋_GB2312"/>
          <w:sz w:val="32"/>
          <w:szCs w:val="32"/>
        </w:rPr>
        <w:t>依托财政一体化平台、预算绩效管理系统平台、</w:t>
      </w:r>
      <w:r>
        <w:rPr>
          <w:rFonts w:hint="eastAsia" w:ascii="仿宋_GB2312" w:hAnsi="仿宋_GB2312" w:eastAsia="仿宋_GB2312" w:cs="仿宋_GB2312"/>
          <w:sz w:val="32"/>
          <w:szCs w:val="32"/>
          <w:lang w:val="en-US" w:eastAsia="zh-CN"/>
        </w:rPr>
        <w:t>衔接</w:t>
      </w:r>
      <w:r>
        <w:rPr>
          <w:rFonts w:hint="eastAsia" w:ascii="仿宋_GB2312" w:hAnsi="仿宋_GB2312" w:eastAsia="仿宋_GB2312" w:cs="仿宋_GB2312"/>
          <w:sz w:val="32"/>
          <w:szCs w:val="32"/>
        </w:rPr>
        <w:t>资金动态监控平台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直达资金直报系统</w:t>
      </w:r>
      <w:r>
        <w:rPr>
          <w:rFonts w:hint="eastAsia" w:ascii="仿宋_GB2312" w:hAnsi="仿宋_GB2312" w:eastAsia="仿宋_GB2312" w:cs="仿宋_GB2312"/>
          <w:sz w:val="32"/>
          <w:szCs w:val="32"/>
        </w:rPr>
        <w:t>等电子信息化软件系统，组织实施。</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（三）参与部门单位职责</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伊吾县财政局指定预算科作为归口管理部门，指导各部门单位开展绩效评价工作，委托第三方机构组织实施绩效评价，职责分工如下：</w:t>
      </w:r>
    </w:p>
    <w:p>
      <w:pPr>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预算科职责：全面负责执行预算绩效管理工作，指导各部门单位开展各阶段工作；会同和指导第三方机构对各部门单位事前绩效评估、绩效目标、监控、自评等实施复核，督促各部门单位充分应用自评和评价结果；根据需要组织实施重点项目绩效评价，加强评价结果反馈和应用</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同时响应预算绩效管理工作对</w:t>
      </w:r>
      <w:r>
        <w:rPr>
          <w:rFonts w:hint="eastAsia" w:ascii="仿宋_GB2312" w:hAnsi="仿宋_GB2312" w:eastAsia="仿宋_GB2312" w:cs="仿宋_GB2312"/>
          <w:sz w:val="32"/>
          <w:szCs w:val="32"/>
          <w:lang w:val="en-US" w:eastAsia="zh-CN"/>
        </w:rPr>
        <w:t>衔接</w:t>
      </w:r>
      <w:r>
        <w:rPr>
          <w:rFonts w:hint="eastAsia" w:ascii="仿宋_GB2312" w:hAnsi="仿宋_GB2312" w:eastAsia="仿宋_GB2312" w:cs="仿宋_GB2312"/>
          <w:sz w:val="32"/>
          <w:szCs w:val="32"/>
        </w:rPr>
        <w:t>资金的重点管控，由</w:t>
      </w:r>
      <w:r>
        <w:rPr>
          <w:rFonts w:hint="eastAsia" w:ascii="仿宋_GB2312" w:hAnsi="仿宋_GB2312" w:eastAsia="仿宋_GB2312" w:cs="仿宋_GB2312"/>
          <w:sz w:val="32"/>
          <w:szCs w:val="32"/>
          <w:lang w:val="en-US" w:eastAsia="zh-CN"/>
        </w:rPr>
        <w:t>农财</w:t>
      </w:r>
      <w:r>
        <w:rPr>
          <w:rFonts w:hint="eastAsia" w:ascii="仿宋_GB2312" w:hAnsi="仿宋_GB2312" w:eastAsia="仿宋_GB2312" w:cs="仿宋_GB2312"/>
          <w:sz w:val="32"/>
          <w:szCs w:val="32"/>
        </w:rPr>
        <w:t>科对项目资金实施绩效目标、绩效监控、绩效自评的全过程绩效管理，定期通报工作进度。</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加强对第三方机构的指导和监督，对工作质量进行把关验收，确保绩效评价的独立、客观、公正。</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部门单位职责：部门单位是预算绩效管理的责任主体，负责按照财政部门安排部署和工作要求，制定本部门预算绩效管理工作办法，组织部门本级和所属单位开展年度预算绩效管理工作，加强自评结果审核和应用。积极配合财政预算绩效管理工作，落实评价整改意见。</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3、第三方机构职责：在财政相关文件指导下，根据财政部门对绩效评价工作内容、时间节点、产出质量等要求，指导协助和督促各项目单位开展绩效评价工作。年度工作完成后，向财政局预算科报备验收。</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第三方机构须秉持独立、客观、公正、保密的原则开展预算绩效管理全过程涉及的各项工作。</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（四）组织开展</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1、落实绩效工作责任</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为了切实履行全面实施预算绩效的管理职责，伊吾县财政局指定预算科作为预算绩效管理工作的责任部门，负责本级部门单位预算绩效管理全面工作。</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预算科将预算绩效管理工作做为年度重点工作之一，根据财政相关要求制订了年度工作计划和工作标准。同时以即时沟通原则建立了沟通协调机制，伊吾县财政局预算科</w:t>
      </w:r>
      <w:r>
        <w:rPr>
          <w:rFonts w:hint="eastAsia" w:ascii="仿宋_GB2312" w:hAnsi="仿宋_GB2312" w:eastAsia="仿宋_GB2312" w:cs="仿宋_GB2312"/>
          <w:sz w:val="32"/>
          <w:szCs w:val="32"/>
          <w:lang w:val="en-US" w:eastAsia="zh-CN"/>
        </w:rPr>
        <w:t>及农财科、</w:t>
      </w:r>
      <w:r>
        <w:rPr>
          <w:rFonts w:hint="eastAsia" w:ascii="仿宋_GB2312" w:hAnsi="仿宋_GB2312" w:eastAsia="仿宋_GB2312" w:cs="仿宋_GB2312"/>
          <w:sz w:val="32"/>
          <w:szCs w:val="32"/>
        </w:rPr>
        <w:t>本级部门单位、第三方机构分别指定专人负责联络协调工作，确保预算绩效管理工作的正常开展。</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根据本年度财政对预算绩效工作的安排，按照202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年度项目及整体绩效目标设定、项目监控、整体监控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上</w:t>
      </w:r>
      <w:r>
        <w:rPr>
          <w:rFonts w:hint="eastAsia" w:ascii="仿宋_GB2312" w:hAnsi="仿宋_GB2312" w:eastAsia="仿宋_GB2312" w:cs="仿宋_GB2312"/>
          <w:sz w:val="32"/>
          <w:szCs w:val="32"/>
        </w:rPr>
        <w:t>年度重点项目绩效评价等工作</w:t>
      </w:r>
      <w:r>
        <w:rPr>
          <w:rFonts w:hint="eastAsia" w:ascii="仿宋_GB2312" w:hAnsi="仿宋_GB2312" w:eastAsia="仿宋_GB2312" w:cs="仿宋_GB2312"/>
          <w:sz w:val="32"/>
          <w:szCs w:val="32"/>
          <w:lang w:val="en-US" w:eastAsia="zh-CN"/>
        </w:rPr>
        <w:t>要求</w:t>
      </w:r>
      <w:r>
        <w:rPr>
          <w:rFonts w:hint="eastAsia" w:ascii="仿宋_GB2312" w:hAnsi="仿宋_GB2312" w:eastAsia="仿宋_GB2312" w:cs="仿宋_GB2312"/>
          <w:sz w:val="32"/>
          <w:szCs w:val="32"/>
        </w:rPr>
        <w:t>，伊吾县财政局指导和协助所属8</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家单位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年初85家，年中上划2家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开展了</w:t>
      </w:r>
      <w:r>
        <w:rPr>
          <w:rFonts w:hint="eastAsia" w:ascii="仿宋_GB2312" w:hAnsi="仿宋_GB2312" w:eastAsia="仿宋_GB2312" w:cs="仿宋_GB2312"/>
          <w:sz w:val="32"/>
          <w:szCs w:val="32"/>
        </w:rPr>
        <w:t>预算绩效管理工作。</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同时将根据财政部门对后续工作的安排，陆续开展项目年度自评、部门单位整体自评、整改及应用等预算绩效相关工作。</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工作安排</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w:t>
      </w:r>
      <w:r>
        <w:rPr>
          <w:rFonts w:hint="eastAsia" w:ascii="仿宋_GB2312" w:hAnsi="仿宋_GB2312" w:eastAsia="仿宋_GB2312" w:cs="仿宋_GB2312"/>
          <w:sz w:val="32"/>
          <w:szCs w:val="32"/>
          <w:lang w:val="en-US" w:eastAsia="zh-CN"/>
        </w:rPr>
        <w:t>财政对</w:t>
      </w:r>
      <w:r>
        <w:rPr>
          <w:rFonts w:hint="eastAsia" w:ascii="仿宋_GB2312" w:hAnsi="仿宋_GB2312" w:eastAsia="仿宋_GB2312" w:cs="仿宋_GB2312"/>
          <w:sz w:val="32"/>
          <w:szCs w:val="32"/>
        </w:rPr>
        <w:t>预算绩效管理工作的</w:t>
      </w:r>
      <w:r>
        <w:rPr>
          <w:rFonts w:hint="eastAsia" w:ascii="仿宋_GB2312" w:hAnsi="仿宋_GB2312" w:eastAsia="仿宋_GB2312" w:cs="仿宋_GB2312"/>
          <w:sz w:val="32"/>
          <w:szCs w:val="32"/>
          <w:lang w:val="en-US" w:eastAsia="zh-CN"/>
        </w:rPr>
        <w:t>年度规划和具体安排</w:t>
      </w:r>
      <w:r>
        <w:rPr>
          <w:rFonts w:hint="eastAsia" w:ascii="仿宋_GB2312" w:hAnsi="仿宋_GB2312" w:eastAsia="仿宋_GB2312" w:cs="仿宋_GB2312"/>
          <w:sz w:val="32"/>
          <w:szCs w:val="32"/>
        </w:rPr>
        <w:t>，从以下五个方面</w:t>
      </w:r>
      <w:r>
        <w:rPr>
          <w:rFonts w:hint="eastAsia" w:ascii="仿宋_GB2312" w:hAnsi="仿宋_GB2312" w:eastAsia="仿宋_GB2312" w:cs="仿宋_GB2312"/>
          <w:sz w:val="32"/>
          <w:szCs w:val="32"/>
          <w:lang w:val="en-US" w:eastAsia="zh-CN"/>
        </w:rPr>
        <w:t>推进实施</w:t>
      </w:r>
      <w:r>
        <w:rPr>
          <w:rFonts w:hint="eastAsia" w:ascii="仿宋_GB2312" w:hAnsi="仿宋_GB2312" w:eastAsia="仿宋_GB2312" w:cs="仿宋_GB2312"/>
          <w:sz w:val="32"/>
          <w:szCs w:val="32"/>
        </w:rPr>
        <w:t>：</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rPr>
        <w:t>事前绩效评估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对项目政策立项实施必要性、投入经济性、绩效目标合理性、实施方案可行性、筹资合规性、财政支持的方式及项目预算的合理性等方面进行客观、公正的分析</w:t>
      </w:r>
      <w:r>
        <w:rPr>
          <w:rFonts w:hint="eastAsia" w:ascii="仿宋_GB2312" w:hAnsi="仿宋_GB2312" w:eastAsia="仿宋_GB2312" w:cs="仿宋_GB2312"/>
          <w:sz w:val="32"/>
          <w:szCs w:val="32"/>
          <w:lang w:eastAsia="zh-CN"/>
        </w:rPr>
        <w:t>；</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rPr>
        <w:t>绩效目标设定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从资金性质、预期投入、支出范围、实施内容、工作任务和受益对象等多方面确定总体目标，将总体目标细化为绩效指标，并确定目标值。保证绩效目标设立的充分性、明确性、合理性以及细化程度</w:t>
      </w:r>
      <w:r>
        <w:rPr>
          <w:rFonts w:hint="eastAsia" w:ascii="仿宋_GB2312" w:hAnsi="仿宋_GB2312" w:eastAsia="仿宋_GB2312" w:cs="仿宋_GB2312"/>
          <w:sz w:val="32"/>
          <w:szCs w:val="32"/>
          <w:lang w:eastAsia="zh-CN"/>
        </w:rPr>
        <w:t>；</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rPr>
        <w:t>动态监控跟踪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对所有财政项目支出预算执行情况和绩效目标实现程度实行“双监控”，及时发现预算执行过程中的资金闲置和损失浪费。对执行进度缓慢或预计无法实现绩效目标的，及时按程序调减预算并同步调整绩效目标</w:t>
      </w:r>
      <w:r>
        <w:rPr>
          <w:rFonts w:hint="eastAsia" w:ascii="仿宋_GB2312" w:hAnsi="仿宋_GB2312" w:eastAsia="仿宋_GB2312" w:cs="仿宋_GB2312"/>
          <w:sz w:val="32"/>
          <w:szCs w:val="32"/>
          <w:lang w:eastAsia="zh-CN"/>
        </w:rPr>
        <w:t>；</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rPr>
        <w:t>项目自评及整体自评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绩效目标的设定情况、资金投入和使用情况、为实现绩效目标制定的制度和采取的措施、绩效目标的实现程度和效果做出分析总结。按照绩效评价指标体系确定的绩效评价指标和权重分值，汇总各项绩效评价得分获得的分数分为四档优、良、合格、差。一般以预算年度为周期，对跨年度的重大政策、项目根据项目或支出完成情况实施阶段性评价</w:t>
      </w:r>
      <w:r>
        <w:rPr>
          <w:rFonts w:hint="eastAsia" w:ascii="仿宋_GB2312" w:hAnsi="仿宋_GB2312" w:eastAsia="仿宋_GB2312" w:cs="仿宋_GB2312"/>
          <w:sz w:val="32"/>
          <w:szCs w:val="32"/>
          <w:lang w:eastAsia="zh-CN"/>
        </w:rPr>
        <w:t>；</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sz w:val="32"/>
          <w:szCs w:val="32"/>
        </w:rPr>
        <w:t>结果应用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绩效评价结果拟应用方式</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完善预算管理；与次年度预算挂钩；要求整改通报；报告评价结果；公开评价结果；纳入考核；实施绩效问责。从而建立完整管理闭环，形成上下联动、左右互通、人人讲绩效用绩效的良好工作氛围。</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4、档案归集</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rPr>
        <w:t xml:space="preserve">文件材料（含电子版）齐全完整； </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rPr>
        <w:t>根据档案内容合并整理、分类、立卷，标题简明确切，便于保管和利用</w:t>
      </w:r>
      <w:r>
        <w:rPr>
          <w:rFonts w:hint="eastAsia" w:ascii="仿宋_GB2312" w:hAnsi="仿宋_GB2312" w:eastAsia="仿宋_GB2312" w:cs="仿宋_GB2312"/>
          <w:sz w:val="32"/>
          <w:szCs w:val="32"/>
          <w:lang w:eastAsia="zh-CN"/>
        </w:rPr>
        <w:t>；</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rPr>
        <w:t>档案资料手续齐全、签字齐备，办理归档。</w:t>
      </w:r>
    </w:p>
    <w:p>
      <w:pPr>
        <w:pStyle w:val="5"/>
        <w:keepNext/>
        <w:keepLines/>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、年度预算绩效工作完成情况</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（一）绩效目标设定情况</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1、整体绩效目标</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伊吾县所属8</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家预算单位</w:t>
      </w:r>
      <w:r>
        <w:rPr>
          <w:rFonts w:hint="eastAsia" w:ascii="仿宋_GB2312" w:hAnsi="仿宋_GB2312" w:eastAsia="仿宋_GB2312" w:cs="仿宋_GB2312"/>
          <w:sz w:val="32"/>
          <w:szCs w:val="32"/>
          <w:lang w:val="en-US" w:eastAsia="zh-CN"/>
        </w:rPr>
        <w:t>全部设定了</w:t>
      </w:r>
      <w:r>
        <w:rPr>
          <w:rFonts w:hint="eastAsia" w:ascii="仿宋_GB2312" w:hAnsi="仿宋_GB2312" w:eastAsia="仿宋_GB2312" w:cs="仿宋_GB2312"/>
          <w:sz w:val="32"/>
          <w:szCs w:val="32"/>
        </w:rPr>
        <w:t>整体绩效目标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涉及资金98725.04万元，</w:t>
      </w:r>
      <w:r>
        <w:rPr>
          <w:rFonts w:hint="eastAsia" w:ascii="仿宋_GB2312" w:hAnsi="仿宋_GB2312" w:eastAsia="仿宋_GB2312" w:cs="仿宋_GB2312"/>
          <w:sz w:val="32"/>
          <w:szCs w:val="32"/>
        </w:rPr>
        <w:t>编制二级指标数</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个，三级指标数</w:t>
      </w:r>
      <w:r>
        <w:rPr>
          <w:rFonts w:hint="eastAsia" w:ascii="仿宋_GB2312" w:hAnsi="仿宋_GB2312" w:eastAsia="仿宋_GB2312" w:cs="仿宋_GB2312"/>
          <w:sz w:val="32"/>
          <w:szCs w:val="32"/>
          <w:lang w:val="en-US" w:eastAsia="zh-CN"/>
        </w:rPr>
        <w:t>1525</w:t>
      </w:r>
      <w:r>
        <w:rPr>
          <w:rFonts w:hint="eastAsia" w:ascii="仿宋_GB2312" w:hAnsi="仿宋_GB2312" w:eastAsia="仿宋_GB2312" w:cs="仿宋_GB2312"/>
          <w:sz w:val="32"/>
          <w:szCs w:val="32"/>
        </w:rPr>
        <w:t>个，定量三级指标数1</w:t>
      </w:r>
      <w:r>
        <w:rPr>
          <w:rFonts w:hint="eastAsia" w:ascii="仿宋_GB2312" w:hAnsi="仿宋_GB2312" w:eastAsia="仿宋_GB2312" w:cs="仿宋_GB2312"/>
          <w:sz w:val="32"/>
          <w:szCs w:val="32"/>
          <w:lang w:val="en-US" w:eastAsia="zh-CN"/>
        </w:rPr>
        <w:t>316</w:t>
      </w:r>
      <w:r>
        <w:rPr>
          <w:rFonts w:hint="eastAsia" w:ascii="仿宋_GB2312" w:hAnsi="仿宋_GB2312" w:eastAsia="仿宋_GB2312" w:cs="仿宋_GB2312"/>
          <w:sz w:val="32"/>
          <w:szCs w:val="32"/>
        </w:rPr>
        <w:t>个，所有部门单位</w:t>
      </w:r>
      <w:r>
        <w:rPr>
          <w:rFonts w:hint="eastAsia" w:ascii="仿宋_GB2312" w:hAnsi="仿宋_GB2312" w:eastAsia="仿宋_GB2312" w:cs="仿宋_GB2312"/>
          <w:sz w:val="32"/>
          <w:szCs w:val="32"/>
          <w:lang w:val="en-US" w:eastAsia="zh-CN"/>
        </w:rPr>
        <w:t>绩效</w:t>
      </w:r>
      <w:r>
        <w:rPr>
          <w:rFonts w:hint="eastAsia" w:ascii="仿宋_GB2312" w:hAnsi="仿宋_GB2312" w:eastAsia="仿宋_GB2312" w:cs="仿宋_GB2312"/>
          <w:sz w:val="32"/>
          <w:szCs w:val="32"/>
        </w:rPr>
        <w:t>指标量化率均超过</w:t>
      </w:r>
      <w:r>
        <w:rPr>
          <w:rFonts w:hint="eastAsia" w:ascii="仿宋_GB2312" w:hAnsi="仿宋_GB2312" w:eastAsia="仿宋_GB2312" w:cs="仿宋_GB2312"/>
          <w:sz w:val="32"/>
          <w:szCs w:val="32"/>
          <w:lang w:val="en-US" w:eastAsia="zh-CN"/>
        </w:rPr>
        <w:t>规定标准（</w:t>
      </w:r>
      <w:r>
        <w:rPr>
          <w:rFonts w:hint="eastAsia" w:ascii="仿宋_GB2312" w:hAnsi="仿宋_GB2312" w:eastAsia="仿宋_GB2312" w:cs="仿宋_GB2312"/>
          <w:sz w:val="32"/>
          <w:szCs w:val="32"/>
        </w:rPr>
        <w:t>70%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平均量化率8</w:t>
      </w:r>
      <w:r>
        <w:rPr>
          <w:rFonts w:hint="eastAsia" w:ascii="仿宋_GB2312" w:hAnsi="仿宋_GB2312" w:eastAsia="仿宋_GB2312" w:cs="仿宋_GB2312"/>
          <w:sz w:val="32"/>
          <w:szCs w:val="32"/>
          <w:lang w:val="en-US" w:eastAsia="zh-CN"/>
        </w:rPr>
        <w:t>6.3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2、项目绩效目标</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伊吾县全口径项目</w:t>
      </w:r>
      <w:r>
        <w:rPr>
          <w:rFonts w:hint="eastAsia" w:ascii="仿宋_GB2312" w:hAnsi="仿宋_GB2312" w:eastAsia="仿宋_GB2312" w:cs="仿宋_GB2312"/>
          <w:sz w:val="32"/>
          <w:szCs w:val="32"/>
          <w:lang w:val="en-US" w:eastAsia="zh-CN"/>
        </w:rPr>
        <w:t>年初数381个，涉及资金54762.44万元；按照财政对预算绩效动态监控的要求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动态调整后追加后</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项目数502个，涉及资金118773.28万元。</w:t>
      </w:r>
      <w:r>
        <w:rPr>
          <w:rFonts w:hint="eastAsia" w:ascii="仿宋_GB2312" w:hAnsi="仿宋_GB2312" w:eastAsia="仿宋_GB2312" w:cs="仿宋_GB2312"/>
          <w:sz w:val="32"/>
          <w:szCs w:val="32"/>
        </w:rPr>
        <w:t>预算绩效目标编制二级指标数</w:t>
      </w:r>
      <w:r>
        <w:rPr>
          <w:rFonts w:hint="eastAsia" w:ascii="仿宋_GB2312" w:hAnsi="仿宋_GB2312" w:eastAsia="仿宋_GB2312" w:cs="仿宋_GB2312"/>
          <w:sz w:val="32"/>
          <w:szCs w:val="32"/>
          <w:lang w:val="en-US" w:eastAsia="zh-CN"/>
        </w:rPr>
        <w:t>2933</w:t>
      </w:r>
      <w:r>
        <w:rPr>
          <w:rFonts w:hint="eastAsia" w:ascii="仿宋_GB2312" w:hAnsi="仿宋_GB2312" w:eastAsia="仿宋_GB2312" w:cs="仿宋_GB2312"/>
          <w:sz w:val="32"/>
          <w:szCs w:val="32"/>
        </w:rPr>
        <w:t>个，三级指标数</w:t>
      </w:r>
      <w:r>
        <w:rPr>
          <w:rFonts w:hint="eastAsia" w:ascii="仿宋_GB2312" w:hAnsi="仿宋_GB2312" w:eastAsia="仿宋_GB2312" w:cs="仿宋_GB2312"/>
          <w:sz w:val="32"/>
          <w:szCs w:val="32"/>
          <w:lang w:val="en-US" w:eastAsia="zh-CN"/>
        </w:rPr>
        <w:t>6488</w:t>
      </w:r>
      <w:r>
        <w:rPr>
          <w:rFonts w:hint="eastAsia" w:ascii="仿宋_GB2312" w:hAnsi="仿宋_GB2312" w:eastAsia="仿宋_GB2312" w:cs="仿宋_GB2312"/>
          <w:sz w:val="32"/>
          <w:szCs w:val="32"/>
        </w:rPr>
        <w:t>个，定量三级指标数</w:t>
      </w:r>
      <w:r>
        <w:rPr>
          <w:rFonts w:hint="eastAsia" w:ascii="仿宋_GB2312" w:hAnsi="仿宋_GB2312" w:eastAsia="仿宋_GB2312" w:cs="仿宋_GB2312"/>
          <w:sz w:val="32"/>
          <w:szCs w:val="32"/>
          <w:lang w:val="en-US" w:eastAsia="zh-CN"/>
        </w:rPr>
        <w:t>5535</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val="en-US" w:eastAsia="zh-CN"/>
        </w:rPr>
        <w:t>所有项目绩效指标量化率</w:t>
      </w:r>
      <w:r>
        <w:rPr>
          <w:rFonts w:hint="eastAsia" w:ascii="仿宋_GB2312" w:hAnsi="仿宋_GB2312" w:eastAsia="仿宋_GB2312" w:cs="仿宋_GB2312"/>
          <w:sz w:val="32"/>
          <w:szCs w:val="32"/>
        </w:rPr>
        <w:t>均超过</w:t>
      </w:r>
      <w:r>
        <w:rPr>
          <w:rFonts w:hint="eastAsia" w:ascii="仿宋_GB2312" w:hAnsi="仿宋_GB2312" w:eastAsia="仿宋_GB2312" w:cs="仿宋_GB2312"/>
          <w:sz w:val="32"/>
          <w:szCs w:val="32"/>
          <w:lang w:val="en-US" w:eastAsia="zh-CN"/>
        </w:rPr>
        <w:t>规定标准（</w:t>
      </w:r>
      <w:r>
        <w:rPr>
          <w:rFonts w:hint="eastAsia" w:ascii="仿宋_GB2312" w:hAnsi="仿宋_GB2312" w:eastAsia="仿宋_GB2312" w:cs="仿宋_GB2312"/>
          <w:sz w:val="32"/>
          <w:szCs w:val="32"/>
        </w:rPr>
        <w:t>70%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平均量化率8</w:t>
      </w:r>
      <w:r>
        <w:rPr>
          <w:rFonts w:hint="eastAsia" w:ascii="仿宋_GB2312" w:hAnsi="仿宋_GB2312" w:eastAsia="仿宋_GB2312" w:cs="仿宋_GB2312"/>
          <w:sz w:val="32"/>
          <w:szCs w:val="32"/>
          <w:lang w:val="en-US" w:eastAsia="zh-CN"/>
        </w:rPr>
        <w:t>5.3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（二）绩效监控完成情况</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1、整体绩效监控</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highlight w:val="none"/>
          <w:shd w:val="clear"/>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年6月正常实施了整体绩效监控工作，</w:t>
      </w:r>
      <w:r>
        <w:rPr>
          <w:rFonts w:hint="eastAsia" w:ascii="仿宋_GB2312" w:hAnsi="仿宋_GB2312" w:eastAsia="仿宋_GB2312" w:cs="仿宋_GB2312"/>
          <w:sz w:val="32"/>
          <w:szCs w:val="32"/>
          <w:lang w:val="en-US" w:eastAsia="zh-CN"/>
        </w:rPr>
        <w:t>部门单位整体监控实现83家单位全覆盖，涉及预算资金98011.48万元，</w:t>
      </w:r>
      <w:r>
        <w:rPr>
          <w:rFonts w:hint="eastAsia" w:ascii="仿宋_GB2312" w:hAnsi="仿宋_GB2312" w:eastAsia="仿宋_GB2312" w:cs="仿宋_GB2312"/>
          <w:sz w:val="32"/>
          <w:szCs w:val="32"/>
          <w:highlight w:val="none"/>
          <w:shd w:val="clear"/>
          <w:lang w:val="en-US" w:eastAsia="zh-CN"/>
        </w:rPr>
        <w:t>监控节点执行50326.57万元，预算资金执行率51.35%，绩效目标总体完成率54.6%，总体偏差率3.25%。</w:t>
      </w:r>
    </w:p>
    <w:tbl>
      <w:tblPr>
        <w:tblStyle w:val="12"/>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项目单位数（个）</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预算资金总额（万元）</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lang w:val="en-US" w:eastAsia="zh-CN"/>
              </w:rPr>
              <w:t>98011.48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预算执行资金总额（万元）</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lang w:val="en-US" w:eastAsia="zh-CN"/>
              </w:rPr>
              <w:t>50326.57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预算资金执行率（%）</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lang w:val="en-US" w:eastAsia="zh-CN"/>
              </w:rPr>
              <w:t>51.35%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绩效目标完成率（%）</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lang w:val="en-US" w:eastAsia="zh-CN"/>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0"/>
                <w:sz w:val="32"/>
                <w:szCs w:val="32"/>
              </w:rPr>
              <w:t>整体偏差值（%）</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仿宋_GB2312" w:hAnsi="仿宋_GB2312" w:eastAsia="仿宋_GB2312" w:cs="仿宋_GB2312"/>
                <w:b w:val="0"/>
                <w:bCs/>
                <w:kern w:val="2"/>
                <w:sz w:val="32"/>
                <w:szCs w:val="32"/>
                <w:lang w:val="en-US" w:eastAsia="zh-CN"/>
              </w:rPr>
            </w:pPr>
            <w:r>
              <w:rPr>
                <w:rFonts w:hint="eastAsia" w:ascii="仿宋_GB2312" w:hAnsi="仿宋_GB2312" w:eastAsia="仿宋_GB2312" w:cs="仿宋_GB2312"/>
                <w:b w:val="0"/>
                <w:bCs/>
                <w:kern w:val="2"/>
                <w:sz w:val="32"/>
                <w:szCs w:val="32"/>
                <w:lang w:val="en-US" w:eastAsia="zh-CN"/>
              </w:rPr>
              <w:t>3.25%</w:t>
            </w:r>
          </w:p>
        </w:tc>
      </w:tr>
    </w:tbl>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highlight w:val="none"/>
          <w:shd w:val="clear"/>
          <w:lang w:val="en-US" w:eastAsia="zh-CN"/>
        </w:rPr>
      </w:pPr>
      <w:r>
        <w:rPr>
          <w:rFonts w:hint="eastAsia" w:ascii="仿宋_GB2312" w:hAnsi="仿宋_GB2312" w:eastAsia="仿宋_GB2312" w:cs="仿宋_GB2312"/>
          <w:sz w:val="32"/>
          <w:szCs w:val="32"/>
          <w:highlight w:val="none"/>
          <w:shd w:val="clear"/>
          <w:lang w:val="en-US" w:eastAsia="zh-CN"/>
        </w:rPr>
        <w:t>绩效监控结论：预算执行情况良好，绩效目标完成正常。</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2、项目绩效监控</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按财政部门对监控工作安排，计划以2022年5月、8月两个节点开展项目绩效监控工作，5月项目监控已正常开展并完成，2022年8月项目监控受疫情影响临时取消。</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highlight w:val="none"/>
          <w:shd w:val="clear"/>
          <w:lang w:val="en-US" w:eastAsia="zh-CN"/>
        </w:rPr>
      </w:pPr>
      <w:r>
        <w:rPr>
          <w:rFonts w:hint="eastAsia" w:ascii="仿宋_GB2312" w:hAnsi="仿宋_GB2312" w:eastAsia="仿宋_GB2312" w:cs="仿宋_GB2312"/>
          <w:sz w:val="32"/>
          <w:szCs w:val="32"/>
          <w:lang w:val="en-US" w:eastAsia="zh-CN"/>
        </w:rPr>
        <w:t>以5月项目监控数据来看，</w:t>
      </w:r>
      <w:r>
        <w:rPr>
          <w:rFonts w:hint="eastAsia" w:ascii="仿宋_GB2312" w:hAnsi="仿宋_GB2312" w:eastAsia="仿宋_GB2312" w:cs="仿宋_GB2312"/>
          <w:sz w:val="32"/>
          <w:szCs w:val="32"/>
        </w:rPr>
        <w:t>伊吾县项目绩效管理工作覆盖</w:t>
      </w:r>
      <w:r>
        <w:rPr>
          <w:rFonts w:hint="eastAsia" w:ascii="仿宋_GB2312" w:hAnsi="仿宋_GB2312" w:eastAsia="仿宋_GB2312" w:cs="仿宋_GB2312"/>
          <w:sz w:val="32"/>
          <w:szCs w:val="32"/>
          <w:lang w:val="en-US" w:eastAsia="zh-CN"/>
        </w:rPr>
        <w:t>76</w:t>
      </w:r>
      <w:r>
        <w:rPr>
          <w:rFonts w:hint="eastAsia" w:ascii="仿宋_GB2312" w:hAnsi="仿宋_GB2312" w:eastAsia="仿宋_GB2312" w:cs="仿宋_GB2312"/>
          <w:sz w:val="32"/>
          <w:szCs w:val="32"/>
        </w:rPr>
        <w:t>家单位、</w:t>
      </w:r>
      <w:r>
        <w:rPr>
          <w:rFonts w:hint="eastAsia" w:ascii="仿宋_GB2312" w:hAnsi="仿宋_GB2312" w:eastAsia="仿宋_GB2312" w:cs="仿宋_GB2312"/>
          <w:sz w:val="32"/>
          <w:szCs w:val="32"/>
          <w:lang w:val="en-US" w:eastAsia="zh-CN"/>
        </w:rPr>
        <w:t>381</w:t>
      </w:r>
      <w:r>
        <w:rPr>
          <w:rFonts w:hint="eastAsia" w:ascii="仿宋_GB2312" w:hAnsi="仿宋_GB2312" w:eastAsia="仿宋_GB2312" w:cs="仿宋_GB2312"/>
          <w:sz w:val="32"/>
          <w:szCs w:val="32"/>
        </w:rPr>
        <w:t>个项目，预算资金总额</w:t>
      </w:r>
      <w:r>
        <w:rPr>
          <w:rFonts w:hint="eastAsia" w:ascii="仿宋_GB2312" w:hAnsi="仿宋_GB2312" w:eastAsia="仿宋_GB2312" w:cs="仿宋_GB2312"/>
          <w:sz w:val="32"/>
          <w:szCs w:val="32"/>
          <w:lang w:val="en-US" w:eastAsia="zh-CN"/>
        </w:rPr>
        <w:t>54762.44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，预算执行资金总额</w:t>
      </w:r>
      <w:r>
        <w:rPr>
          <w:rFonts w:hint="eastAsia" w:ascii="仿宋_GB2312" w:hAnsi="仿宋_GB2312" w:eastAsia="仿宋_GB2312" w:cs="仿宋_GB2312"/>
          <w:sz w:val="32"/>
          <w:szCs w:val="32"/>
          <w:highlight w:val="none"/>
          <w:lang w:val="en-US" w:eastAsia="zh-CN"/>
        </w:rPr>
        <w:t>18058.63</w:t>
      </w:r>
      <w:r>
        <w:rPr>
          <w:rFonts w:hint="eastAsia" w:ascii="仿宋_GB2312" w:hAnsi="仿宋_GB2312" w:eastAsia="仿宋_GB2312" w:cs="仿宋_GB2312"/>
          <w:sz w:val="32"/>
          <w:szCs w:val="32"/>
          <w:highlight w:val="none"/>
        </w:rPr>
        <w:t>万元，预算资金执行率</w:t>
      </w:r>
      <w:r>
        <w:rPr>
          <w:rFonts w:hint="eastAsia" w:ascii="仿宋_GB2312" w:hAnsi="仿宋_GB2312" w:eastAsia="仿宋_GB2312" w:cs="仿宋_GB2312"/>
          <w:sz w:val="32"/>
          <w:szCs w:val="32"/>
          <w:highlight w:val="none"/>
          <w:lang w:val="en-US" w:eastAsia="zh-CN"/>
        </w:rPr>
        <w:t>32.98</w:t>
      </w:r>
      <w:r>
        <w:rPr>
          <w:rFonts w:hint="eastAsia" w:ascii="仿宋_GB2312" w:hAnsi="仿宋_GB2312" w:eastAsia="仿宋_GB2312" w:cs="仿宋_GB2312"/>
          <w:sz w:val="32"/>
          <w:szCs w:val="32"/>
          <w:highlight w:val="none"/>
        </w:rPr>
        <w:t>%，绩效目标整体完成率</w:t>
      </w:r>
      <w:r>
        <w:rPr>
          <w:rFonts w:hint="eastAsia" w:ascii="仿宋_GB2312" w:hAnsi="仿宋_GB2312" w:eastAsia="仿宋_GB2312" w:cs="仿宋_GB2312"/>
          <w:sz w:val="32"/>
          <w:szCs w:val="32"/>
          <w:highlight w:val="none"/>
          <w:lang w:val="en-US" w:eastAsia="zh-CN"/>
        </w:rPr>
        <w:t>43.92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shd w:val="clear"/>
          <w:lang w:val="en-US" w:eastAsia="zh-CN"/>
        </w:rPr>
        <w:t>总体偏差率</w:t>
      </w:r>
      <w:r>
        <w:rPr>
          <w:rFonts w:hint="eastAsia" w:ascii="仿宋_GB2312" w:hAnsi="仿宋_GB2312" w:eastAsia="仿宋_GB2312" w:cs="仿宋_GB2312"/>
          <w:sz w:val="32"/>
          <w:szCs w:val="32"/>
          <w:highlight w:val="none"/>
          <w:lang w:val="en-US" w:eastAsia="zh-CN"/>
        </w:rPr>
        <w:t>10.94</w:t>
      </w:r>
      <w:r>
        <w:rPr>
          <w:rFonts w:hint="eastAsia" w:ascii="仿宋_GB2312" w:hAnsi="仿宋_GB2312" w:eastAsia="仿宋_GB2312" w:cs="仿宋_GB2312"/>
          <w:sz w:val="32"/>
          <w:szCs w:val="32"/>
          <w:highlight w:val="none"/>
          <w:shd w:val="clear"/>
          <w:lang w:val="en-US" w:eastAsia="zh-CN"/>
        </w:rPr>
        <w:t>%。</w:t>
      </w:r>
    </w:p>
    <w:tbl>
      <w:tblPr>
        <w:tblStyle w:val="12"/>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项目单位数（个）</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default" w:ascii="仿宋_GB2312" w:hAnsi="仿宋_GB2312" w:eastAsia="仿宋_GB2312" w:cs="仿宋_GB2312"/>
                <w:b w:val="0"/>
                <w:bCs/>
                <w:kern w:val="2"/>
                <w:sz w:val="32"/>
                <w:szCs w:val="32"/>
                <w:lang w:val="en-US" w:eastAsia="zh-CN"/>
              </w:rPr>
            </w:pPr>
            <w:r>
              <w:rPr>
                <w:rFonts w:hint="eastAsia" w:ascii="仿宋_GB2312" w:hAnsi="仿宋_GB2312" w:eastAsia="仿宋_GB2312" w:cs="仿宋_GB2312"/>
                <w:b w:val="0"/>
                <w:bCs/>
                <w:kern w:val="2"/>
                <w:sz w:val="32"/>
                <w:szCs w:val="32"/>
                <w:lang w:val="en-US" w:eastAsia="zh-CN"/>
              </w:rPr>
              <w:t>项目个数（个）</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预算资金总额（万元）</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lang w:val="en-US" w:eastAsia="zh-CN"/>
              </w:rPr>
              <w:t>54762.44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预算执行资金总额（万元）</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lang w:val="en-US" w:eastAsia="zh-CN"/>
              </w:rPr>
              <w:t>18058.63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预算资金执行率（%）</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lang w:val="en-US" w:eastAsia="zh-CN"/>
              </w:rPr>
              <w:t>32.98%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rPr>
              <w:t>绩效目标完成率（%）</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kern w:val="2"/>
                <w:sz w:val="32"/>
                <w:szCs w:val="32"/>
                <w:lang w:val="en-US" w:eastAsia="zh-CN"/>
              </w:rPr>
              <w:t>43.92%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pStyle w:val="2"/>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0"/>
                <w:sz w:val="32"/>
                <w:szCs w:val="32"/>
              </w:rPr>
              <w:t>整体偏差值（%）</w:t>
            </w:r>
          </w:p>
        </w:tc>
        <w:tc>
          <w:tcPr>
            <w:tcW w:w="4531" w:type="dxa"/>
          </w:tcPr>
          <w:p>
            <w:pPr>
              <w:pStyle w:val="2"/>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仿宋_GB2312" w:hAnsi="仿宋_GB2312" w:eastAsia="仿宋_GB2312" w:cs="仿宋_GB2312"/>
                <w:b w:val="0"/>
                <w:bCs/>
                <w:kern w:val="2"/>
                <w:sz w:val="32"/>
                <w:szCs w:val="32"/>
                <w:lang w:val="en-US" w:eastAsia="zh-CN"/>
              </w:rPr>
            </w:pPr>
            <w:r>
              <w:rPr>
                <w:rFonts w:hint="eastAsia" w:ascii="仿宋_GB2312" w:hAnsi="仿宋_GB2312" w:eastAsia="仿宋_GB2312" w:cs="仿宋_GB2312"/>
                <w:b w:val="0"/>
                <w:bCs/>
                <w:kern w:val="2"/>
                <w:sz w:val="32"/>
                <w:szCs w:val="32"/>
                <w:lang w:val="en-US" w:eastAsia="zh-CN"/>
              </w:rPr>
              <w:t>10.94%</w:t>
            </w:r>
          </w:p>
        </w:tc>
      </w:tr>
    </w:tbl>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shd w:val="clear"/>
          <w:lang w:val="en-US" w:eastAsia="zh-CN"/>
        </w:rPr>
        <w:t>绩效监控偏差分析主要原因：一是部分工作任务以合同约定节点支付，与监控节点不做绝对匹配；二是供应商暂未提供票据或工作人员忙于项目推进未报销和支付。绩效监控结论：加快项目资金支付进度，符合支付条件的及时支付。</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同时</w:t>
      </w:r>
      <w:r>
        <w:rPr>
          <w:rFonts w:hint="eastAsia" w:ascii="仿宋_GB2312" w:hAnsi="仿宋_GB2312" w:eastAsia="仿宋_GB2312" w:cs="仿宋_GB2312"/>
          <w:sz w:val="32"/>
          <w:szCs w:val="32"/>
        </w:rPr>
        <w:t>为坚决落实</w:t>
      </w:r>
      <w:r>
        <w:rPr>
          <w:rFonts w:hint="eastAsia" w:ascii="仿宋_GB2312" w:hAnsi="仿宋_GB2312" w:eastAsia="仿宋_GB2312" w:cs="仿宋_GB2312"/>
          <w:sz w:val="32"/>
          <w:szCs w:val="32"/>
          <w:lang w:eastAsia="zh-CN"/>
        </w:rPr>
        <w:t>县委县政府</w:t>
      </w:r>
      <w:r>
        <w:rPr>
          <w:rFonts w:hint="eastAsia" w:ascii="仿宋_GB2312" w:hAnsi="仿宋_GB2312" w:eastAsia="仿宋_GB2312" w:cs="仿宋_GB2312"/>
          <w:sz w:val="32"/>
          <w:szCs w:val="32"/>
        </w:rPr>
        <w:t>“过紧日子”的工作要求，202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6-11</w:t>
      </w:r>
      <w:r>
        <w:rPr>
          <w:rFonts w:hint="eastAsia" w:ascii="仿宋_GB2312" w:hAnsi="仿宋_GB2312" w:eastAsia="仿宋_GB2312" w:cs="仿宋_GB2312"/>
          <w:sz w:val="32"/>
          <w:szCs w:val="32"/>
        </w:rPr>
        <w:t>月根据本级本部门单位年度整体工作和预算执行实际情况，对年度资金做了适时压减、划转、调整，相关指标和数据有不同程度动态调整，具体以年度自评报送为准。</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（三）应用效果</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1、数据对标</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整体监控。</w:t>
      </w:r>
      <w:r>
        <w:rPr>
          <w:rFonts w:hint="eastAsia" w:ascii="仿宋_GB2312" w:hAnsi="仿宋_GB2312" w:eastAsia="仿宋_GB2312" w:cs="仿宋_GB2312"/>
          <w:sz w:val="32"/>
          <w:szCs w:val="32"/>
        </w:rPr>
        <w:t>以202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部门单位整体</w:t>
      </w:r>
      <w:r>
        <w:rPr>
          <w:rFonts w:hint="eastAsia" w:ascii="仿宋_GB2312" w:hAnsi="仿宋_GB2312" w:eastAsia="仿宋_GB2312" w:cs="仿宋_GB2312"/>
          <w:sz w:val="32"/>
          <w:szCs w:val="32"/>
        </w:rPr>
        <w:t>监控情况，提取20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部门单位整体监控</w:t>
      </w:r>
      <w:r>
        <w:rPr>
          <w:rFonts w:hint="eastAsia" w:ascii="仿宋_GB2312" w:hAnsi="仿宋_GB2312" w:eastAsia="仿宋_GB2312" w:cs="仿宋_GB2312"/>
          <w:sz w:val="32"/>
          <w:szCs w:val="32"/>
        </w:rPr>
        <w:t>数据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进行纵向</w:t>
      </w:r>
      <w:r>
        <w:rPr>
          <w:rFonts w:hint="eastAsia" w:ascii="仿宋_GB2312" w:hAnsi="仿宋_GB2312" w:eastAsia="仿宋_GB2312" w:cs="仿宋_GB2312"/>
          <w:sz w:val="32"/>
          <w:szCs w:val="32"/>
          <w:lang w:val="en-US" w:eastAsia="zh-CN"/>
        </w:rPr>
        <w:t>对标如下：</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部门单位整体</w:t>
      </w:r>
      <w:r>
        <w:rPr>
          <w:rFonts w:hint="eastAsia" w:ascii="仿宋_GB2312" w:hAnsi="仿宋_GB2312" w:eastAsia="仿宋_GB2312" w:cs="仿宋_GB2312"/>
          <w:sz w:val="32"/>
          <w:szCs w:val="32"/>
        </w:rPr>
        <w:t>预算资金执行率</w:t>
      </w:r>
      <w:r>
        <w:rPr>
          <w:rFonts w:hint="eastAsia" w:ascii="仿宋_GB2312" w:hAnsi="仿宋_GB2312" w:eastAsia="仿宋_GB2312" w:cs="仿宋_GB2312"/>
          <w:sz w:val="32"/>
          <w:szCs w:val="32"/>
          <w:lang w:val="en-US" w:eastAsia="zh-CN"/>
        </w:rPr>
        <w:t>51.20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，总体目标完成率53.34%；</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部门单位整体</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val="en-US" w:eastAsia="zh-CN"/>
        </w:rPr>
        <w:t>资金执行率51.35%，总体目标完成率54.6%；</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分析结论：年度资金执行率与整体绩效目标任务序时匹配性良好，预算绩效工作持续稳定。</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项目监控。</w:t>
      </w:r>
      <w:r>
        <w:rPr>
          <w:rFonts w:hint="eastAsia" w:ascii="仿宋_GB2312" w:hAnsi="仿宋_GB2312" w:eastAsia="仿宋_GB2312" w:cs="仿宋_GB2312"/>
          <w:sz w:val="32"/>
          <w:szCs w:val="32"/>
        </w:rPr>
        <w:t>以202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年度5月项目监控情况，提取20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年度5月项目监控数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进行纵向</w:t>
      </w:r>
      <w:r>
        <w:rPr>
          <w:rFonts w:hint="eastAsia" w:ascii="仿宋_GB2312" w:hAnsi="仿宋_GB2312" w:eastAsia="仿宋_GB2312" w:cs="仿宋_GB2312"/>
          <w:sz w:val="32"/>
          <w:szCs w:val="32"/>
          <w:lang w:val="en-US" w:eastAsia="zh-CN"/>
        </w:rPr>
        <w:t>对标如下：</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年5月项目预算资金执行率</w:t>
      </w:r>
      <w:r>
        <w:rPr>
          <w:rFonts w:hint="eastAsia" w:ascii="仿宋_GB2312" w:hAnsi="仿宋_GB2312" w:eastAsia="仿宋_GB2312" w:cs="仿宋_GB2312"/>
          <w:sz w:val="32"/>
          <w:szCs w:val="32"/>
          <w:lang w:val="en-US" w:eastAsia="zh-CN"/>
        </w:rPr>
        <w:t>34.05</w:t>
      </w:r>
      <w:r>
        <w:rPr>
          <w:rFonts w:hint="eastAsia" w:ascii="仿宋_GB2312" w:hAnsi="仿宋_GB2312" w:eastAsia="仿宋_GB2312" w:cs="仿宋_GB2312"/>
          <w:sz w:val="32"/>
          <w:szCs w:val="32"/>
        </w:rPr>
        <w:t>%，绩效目标完成率</w:t>
      </w:r>
      <w:r>
        <w:rPr>
          <w:rFonts w:hint="eastAsia" w:ascii="仿宋_GB2312" w:hAnsi="仿宋_GB2312" w:eastAsia="仿宋_GB2312" w:cs="仿宋_GB2312"/>
          <w:sz w:val="32"/>
          <w:szCs w:val="32"/>
          <w:lang w:val="en-US" w:eastAsia="zh-CN"/>
        </w:rPr>
        <w:t>44.77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年5月项目预算资金执行率</w:t>
      </w:r>
      <w:r>
        <w:rPr>
          <w:rFonts w:hint="eastAsia" w:ascii="仿宋_GB2312" w:hAnsi="仿宋_GB2312" w:eastAsia="仿宋_GB2312" w:cs="仿宋_GB2312"/>
          <w:sz w:val="32"/>
          <w:szCs w:val="32"/>
          <w:lang w:val="en-US" w:eastAsia="zh-CN"/>
        </w:rPr>
        <w:t>32.98</w:t>
      </w:r>
      <w:r>
        <w:rPr>
          <w:rFonts w:hint="eastAsia" w:ascii="仿宋_GB2312" w:hAnsi="仿宋_GB2312" w:eastAsia="仿宋_GB2312" w:cs="仿宋_GB2312"/>
          <w:sz w:val="32"/>
          <w:szCs w:val="32"/>
        </w:rPr>
        <w:t>%，绩效目标完成率</w:t>
      </w:r>
      <w:r>
        <w:rPr>
          <w:rFonts w:hint="eastAsia" w:ascii="仿宋_GB2312" w:hAnsi="仿宋_GB2312" w:eastAsia="仿宋_GB2312" w:cs="仿宋_GB2312"/>
          <w:sz w:val="32"/>
          <w:szCs w:val="32"/>
          <w:lang w:val="en-US" w:eastAsia="zh-CN"/>
        </w:rPr>
        <w:t>43.92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分析结论：预算资金执行进度略有降低，绩效目标任务完成与序时进度匹配性良好</w:t>
      </w:r>
      <w:r>
        <w:rPr>
          <w:rFonts w:hint="eastAsia" w:ascii="仿宋_GB2312" w:hAnsi="仿宋_GB2312" w:eastAsia="仿宋_GB2312" w:cs="仿宋_GB2312"/>
          <w:sz w:val="32"/>
          <w:szCs w:val="32"/>
        </w:rPr>
        <w:t>。</w:t>
      </w:r>
    </w:p>
    <w:p>
      <w:pPr>
        <w:pStyle w:val="7"/>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2、后续安排</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按照财政部门对预算绩效动态管理要求，继续做好追加和调整项目资金的绩效目标管理工作，为后续绩效评价工作的正常实施建立基础。</w:t>
      </w:r>
    </w:p>
    <w:p>
      <w:pPr>
        <w:pStyle w:val="5"/>
        <w:keepNext/>
        <w:keepLines/>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、主要经验及做法</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建立有效的绩效预算模式</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财政资金绩效评价以预期目标为导向，绩效评价是核心，对预期绩效目标的实现情况和最终效果影响巨大，财政资金绩效预算管理的重点就是对财政资金支出之前的分析和对利用情况产生结果的预测，进一步在实施预算时充分发挥控制管理的功能，对财政资金的使用进行事中考核、事后评价，完善财政资金绩效预算体系，作为财政资金项目开展的依据，提高资金使用部门责任心，有利于财政资金的使用效率最大化</w:t>
      </w:r>
      <w:r>
        <w:rPr>
          <w:rFonts w:hint="eastAsia" w:ascii="仿宋_GB2312" w:hAnsi="仿宋_GB2312" w:eastAsia="仿宋_GB2312" w:cs="仿宋_GB2312"/>
          <w:sz w:val="32"/>
          <w:szCs w:val="32"/>
        </w:rPr>
        <w:t>。</w:t>
      </w:r>
    </w:p>
    <w:p>
      <w:pPr>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（二）建立健全相关制度，实施动态化管理</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做好财政资金绩效评价工作，需要把制度化和规范化形成常态，同时鉴于财政资金和项目需求是不断变化的，因此要求对财政资金的绩效评价实施动态评价管理制度，才能切合实际的节约成本、减少浪费，使财政资金最大化发挥自身效益。</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（三）对各部门单位的财务核算规范化和精细化要求</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财务核算上，要求会计核算要更加详细和规范，为本单位各项工作的开展、总结、评估提供有效数据资料支撑，为各项业务工作更好的开展提供帮助。</w:t>
      </w:r>
    </w:p>
    <w:p>
      <w:pPr>
        <w:pStyle w:val="5"/>
        <w:keepNext/>
        <w:keepLines/>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、存在的问题及原因分析</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绩效指标设定的定量衡量存在困难</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很大一部分财政资金项目产生的效益主要是社会性的、公益性的，投入到产出效益的长时间间隔使得财政资金绩效评价范围和监督变的困难。这种综合性和间接性的效益，指标选取和归类本身就存在一定难度，再加上难以具体量化，就给财政资金绩效评价工作带来更多困难。</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（二）预算绩效目标体系构建难度较大</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目标是财政支出计划达到的产出、效果等指标，贯穿预算绩效管理全过程，是绩效评价向绩效管理迈进的关键。在实施过程中，仍然面临预算绩效目标体系构建难度较大的情况，一是由于纳入绩效目标管理的项目种类多，各项目的性质、单位职能职责、任务目标、考核指标等不完全相同，导致目标多元化，个性指标较多，没有统一的标准；二是由于部分项目在实施过程中存在如政策变化、实施条件变化、实施环境变化等不确定性因素，导致预算单位在依据上年支出情况，制定下一年度绩效目标时，指标设定不够精准，可能出现下一年度实际支出金额与设定的绩效目标差异较大等情况。</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（三）项目细化管理工作不足</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项目资金使用范围细化不足，在执行过程中，不能把握到位，项目单位提供的基础支持材料不充分、数据不严谨，出现重复返工，花费大量的人力物力和时间用于基础材料收集和印证。</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同时各项目单位人员变动频繁，工作交接不到位，造成绩效管理工作不能有效衔接，出现断层。</w:t>
      </w:r>
    </w:p>
    <w:p>
      <w:pPr>
        <w:pStyle w:val="6"/>
        <w:pageBreakBefore w:val="0"/>
        <w:widowControl w:val="0"/>
        <w:kinsoku/>
        <w:wordWrap/>
        <w:overflowPunct/>
        <w:topLinePunct w:val="0"/>
        <w:autoSpaceDE/>
        <w:autoSpaceDN/>
        <w:bidi w:val="0"/>
        <w:adjustRightInd/>
        <w:snapToGrid/>
        <w:spacing w:before="0" w:after="0" w:line="540" w:lineRule="exact"/>
        <w:ind w:firstLine="643"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（四）绩效评价结果质量有待进一步提高</w:t>
      </w:r>
    </w:p>
    <w:p>
      <w:pPr>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财政绩效评价部门，人力物力是极其有限的，在评价过程中不可能对每个参评项目都深入实地进行考察，因此，存在一定程度上缺乏准确可靠的绩效数据和会计信息，支出部门的支出情况和自我评价可信度不能得到全部印证，造成最终的评价结果失真。</w:t>
      </w:r>
    </w:p>
    <w:p>
      <w:pPr>
        <w:pStyle w:val="2"/>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按照《哈密市全面实施预算绩效管理的工作方案》（哈市财绩〔2022〕2号）文件要求，以上报告需上报市委。</w:t>
      </w:r>
    </w:p>
    <w:p>
      <w:pPr>
        <w:pStyle w:val="2"/>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val="0"/>
          <w:bCs/>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val="0"/>
          <w:bCs/>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Fonts w:hint="eastAsia" w:ascii="仿宋_GB2312" w:hAnsi="仿宋_GB2312" w:eastAsia="仿宋_GB2312" w:cs="仿宋_GB2312"/>
          <w:b w:val="0"/>
          <w:bCs/>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                                       中共伊吾县委员会  </w:t>
      </w:r>
    </w:p>
    <w:p>
      <w:pPr>
        <w:pStyle w:val="2"/>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right"/>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2022年11月28日</w:t>
      </w:r>
    </w:p>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35A18"/>
    <w:multiLevelType w:val="singleLevel"/>
    <w:tmpl w:val="B8035A1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3ZGI0NDgzZGJmNDkzYTY5NDExMjBkZWI5Yzk2M2IifQ=="/>
  </w:docVars>
  <w:rsids>
    <w:rsidRoot w:val="00250685"/>
    <w:rsid w:val="0000313D"/>
    <w:rsid w:val="000475C0"/>
    <w:rsid w:val="000949D1"/>
    <w:rsid w:val="000A5FE7"/>
    <w:rsid w:val="000B4FDF"/>
    <w:rsid w:val="000C1AC2"/>
    <w:rsid w:val="000F277F"/>
    <w:rsid w:val="001449BC"/>
    <w:rsid w:val="00171178"/>
    <w:rsid w:val="00184201"/>
    <w:rsid w:val="001F1098"/>
    <w:rsid w:val="00204D23"/>
    <w:rsid w:val="00230959"/>
    <w:rsid w:val="00250685"/>
    <w:rsid w:val="002A45C3"/>
    <w:rsid w:val="002F2632"/>
    <w:rsid w:val="0032113E"/>
    <w:rsid w:val="00325CB5"/>
    <w:rsid w:val="003C15B6"/>
    <w:rsid w:val="003C63EC"/>
    <w:rsid w:val="0042548D"/>
    <w:rsid w:val="0047461D"/>
    <w:rsid w:val="004A5F27"/>
    <w:rsid w:val="004A7368"/>
    <w:rsid w:val="004C1C65"/>
    <w:rsid w:val="004D7FB3"/>
    <w:rsid w:val="00526832"/>
    <w:rsid w:val="00543C2C"/>
    <w:rsid w:val="0057197D"/>
    <w:rsid w:val="0057416A"/>
    <w:rsid w:val="005927C1"/>
    <w:rsid w:val="005A100D"/>
    <w:rsid w:val="005E407B"/>
    <w:rsid w:val="0060499C"/>
    <w:rsid w:val="00644CBD"/>
    <w:rsid w:val="0069442B"/>
    <w:rsid w:val="006E0C53"/>
    <w:rsid w:val="006F7691"/>
    <w:rsid w:val="0071451B"/>
    <w:rsid w:val="0071677C"/>
    <w:rsid w:val="00732AB7"/>
    <w:rsid w:val="0076390B"/>
    <w:rsid w:val="0078671E"/>
    <w:rsid w:val="0079322F"/>
    <w:rsid w:val="007B0CD0"/>
    <w:rsid w:val="007B6D80"/>
    <w:rsid w:val="007C64F8"/>
    <w:rsid w:val="008074B6"/>
    <w:rsid w:val="00817A45"/>
    <w:rsid w:val="0084353C"/>
    <w:rsid w:val="0086488F"/>
    <w:rsid w:val="008A5A04"/>
    <w:rsid w:val="008C25D6"/>
    <w:rsid w:val="00913475"/>
    <w:rsid w:val="009438AD"/>
    <w:rsid w:val="009565EF"/>
    <w:rsid w:val="009571FE"/>
    <w:rsid w:val="00975510"/>
    <w:rsid w:val="009771CA"/>
    <w:rsid w:val="009822DA"/>
    <w:rsid w:val="00992B3B"/>
    <w:rsid w:val="009B1375"/>
    <w:rsid w:val="009E1574"/>
    <w:rsid w:val="00A41BCB"/>
    <w:rsid w:val="00A65A5E"/>
    <w:rsid w:val="00A84C62"/>
    <w:rsid w:val="00AA0310"/>
    <w:rsid w:val="00AD4F08"/>
    <w:rsid w:val="00B46C7D"/>
    <w:rsid w:val="00B734E5"/>
    <w:rsid w:val="00B814F4"/>
    <w:rsid w:val="00BC4586"/>
    <w:rsid w:val="00C21EF6"/>
    <w:rsid w:val="00C331C7"/>
    <w:rsid w:val="00C34C2A"/>
    <w:rsid w:val="00CA339C"/>
    <w:rsid w:val="00D13FDD"/>
    <w:rsid w:val="00D24D24"/>
    <w:rsid w:val="00D72012"/>
    <w:rsid w:val="00D776FF"/>
    <w:rsid w:val="00D80DAF"/>
    <w:rsid w:val="00D866A6"/>
    <w:rsid w:val="00E26583"/>
    <w:rsid w:val="00E41A2C"/>
    <w:rsid w:val="00E964EF"/>
    <w:rsid w:val="00EB411C"/>
    <w:rsid w:val="00EF1326"/>
    <w:rsid w:val="00EF37B4"/>
    <w:rsid w:val="00EF7187"/>
    <w:rsid w:val="00F32BFB"/>
    <w:rsid w:val="00F420E5"/>
    <w:rsid w:val="00F73A98"/>
    <w:rsid w:val="00FD6ED4"/>
    <w:rsid w:val="00FE1529"/>
    <w:rsid w:val="00FF7807"/>
    <w:rsid w:val="0226674C"/>
    <w:rsid w:val="08B42436"/>
    <w:rsid w:val="097924AD"/>
    <w:rsid w:val="0AA54CA2"/>
    <w:rsid w:val="0FC26FE7"/>
    <w:rsid w:val="107C23EA"/>
    <w:rsid w:val="12FB34AF"/>
    <w:rsid w:val="149C184E"/>
    <w:rsid w:val="1C580648"/>
    <w:rsid w:val="2CDF7C56"/>
    <w:rsid w:val="2D3F59E2"/>
    <w:rsid w:val="2DDB2E87"/>
    <w:rsid w:val="304C1E1A"/>
    <w:rsid w:val="32357D37"/>
    <w:rsid w:val="34EF234C"/>
    <w:rsid w:val="359D4E00"/>
    <w:rsid w:val="3AC871CD"/>
    <w:rsid w:val="3CD14B83"/>
    <w:rsid w:val="3CE97BB2"/>
    <w:rsid w:val="3D6702AE"/>
    <w:rsid w:val="40210BCD"/>
    <w:rsid w:val="45A66A91"/>
    <w:rsid w:val="49D00CD7"/>
    <w:rsid w:val="49E362F6"/>
    <w:rsid w:val="4B773D97"/>
    <w:rsid w:val="4C5621EA"/>
    <w:rsid w:val="4E8E2DB4"/>
    <w:rsid w:val="53DC50DF"/>
    <w:rsid w:val="587F06B5"/>
    <w:rsid w:val="593E7BD9"/>
    <w:rsid w:val="5B7D1E92"/>
    <w:rsid w:val="5D093D11"/>
    <w:rsid w:val="5FAA4F1B"/>
    <w:rsid w:val="63890315"/>
    <w:rsid w:val="6824469D"/>
    <w:rsid w:val="6B2B7C74"/>
    <w:rsid w:val="700A5276"/>
    <w:rsid w:val="70F50155"/>
    <w:rsid w:val="74194A6B"/>
    <w:rsid w:val="747933AD"/>
    <w:rsid w:val="755B0443"/>
    <w:rsid w:val="758C29AB"/>
    <w:rsid w:val="7993773F"/>
    <w:rsid w:val="7A173C76"/>
    <w:rsid w:val="7D575A69"/>
    <w:rsid w:val="7E1B0E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17"/>
    <w:unhideWhenUsed/>
    <w:qFormat/>
    <w:uiPriority w:val="9"/>
    <w:pPr>
      <w:keepNext/>
      <w:keepLines/>
      <w:spacing w:before="260" w:after="260" w:line="416" w:lineRule="auto"/>
      <w:outlineLvl w:val="2"/>
    </w:pPr>
    <w:rPr>
      <w:b/>
      <w:bCs/>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19"/>
    <w:qFormat/>
    <w:uiPriority w:val="0"/>
    <w:pPr>
      <w:spacing w:after="0"/>
      <w:ind w:left="0" w:leftChars="0" w:firstLine="420" w:firstLineChars="200"/>
    </w:pPr>
    <w:rPr>
      <w:b/>
      <w:sz w:val="24"/>
      <w:szCs w:val="24"/>
    </w:rPr>
  </w:style>
  <w:style w:type="paragraph" w:styleId="3">
    <w:name w:val="Body Text Indent"/>
    <w:basedOn w:val="1"/>
    <w:next w:val="4"/>
    <w:link w:val="18"/>
    <w:unhideWhenUsed/>
    <w:qFormat/>
    <w:uiPriority w:val="99"/>
    <w:pPr>
      <w:spacing w:after="120"/>
      <w:ind w:left="420" w:leftChars="200"/>
    </w:pPr>
  </w:style>
  <w:style w:type="paragraph" w:styleId="4">
    <w:name w:val="envelope return"/>
    <w:basedOn w:val="1"/>
    <w:qFormat/>
    <w:uiPriority w:val="0"/>
    <w:pPr>
      <w:snapToGrid w:val="0"/>
    </w:pPr>
    <w:rPr>
      <w:rFonts w:ascii="Arial" w:hAnsi="Arial"/>
    </w:rPr>
  </w:style>
  <w:style w:type="paragraph" w:styleId="8">
    <w:name w:val="Document Map"/>
    <w:basedOn w:val="1"/>
    <w:link w:val="15"/>
    <w:unhideWhenUsed/>
    <w:qFormat/>
    <w:uiPriority w:val="99"/>
    <w:rPr>
      <w:rFonts w:ascii="宋体" w:eastAsia="宋体"/>
      <w:sz w:val="18"/>
      <w:szCs w:val="18"/>
    </w:rPr>
  </w:style>
  <w:style w:type="paragraph" w:styleId="9">
    <w:name w:val="Date"/>
    <w:basedOn w:val="1"/>
    <w:next w:val="1"/>
    <w:link w:val="20"/>
    <w:unhideWhenUsed/>
    <w:qFormat/>
    <w:uiPriority w:val="99"/>
    <w:pPr>
      <w:ind w:left="100" w:leftChars="2500"/>
    </w:p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1 Char"/>
    <w:basedOn w:val="13"/>
    <w:link w:val="5"/>
    <w:qFormat/>
    <w:uiPriority w:val="9"/>
    <w:rPr>
      <w:b/>
      <w:bCs/>
      <w:kern w:val="44"/>
      <w:sz w:val="44"/>
      <w:szCs w:val="44"/>
    </w:rPr>
  </w:style>
  <w:style w:type="character" w:customStyle="1" w:styleId="15">
    <w:name w:val="文档结构图 Char"/>
    <w:basedOn w:val="13"/>
    <w:link w:val="8"/>
    <w:semiHidden/>
    <w:qFormat/>
    <w:uiPriority w:val="99"/>
    <w:rPr>
      <w:rFonts w:ascii="宋体" w:eastAsia="宋体"/>
      <w:sz w:val="18"/>
      <w:szCs w:val="18"/>
    </w:rPr>
  </w:style>
  <w:style w:type="character" w:customStyle="1" w:styleId="16">
    <w:name w:val="标题 2 Char"/>
    <w:basedOn w:val="13"/>
    <w:link w:val="6"/>
    <w:qFormat/>
    <w:uiPriority w:val="9"/>
    <w:rPr>
      <w:rFonts w:asciiTheme="majorHAnsi" w:hAnsiTheme="majorHAnsi" w:eastAsiaTheme="majorEastAsia" w:cstheme="majorBidi"/>
      <w:b/>
      <w:bCs/>
      <w:sz w:val="32"/>
      <w:szCs w:val="32"/>
    </w:rPr>
  </w:style>
  <w:style w:type="character" w:customStyle="1" w:styleId="17">
    <w:name w:val="标题 3 Char"/>
    <w:basedOn w:val="13"/>
    <w:link w:val="7"/>
    <w:qFormat/>
    <w:uiPriority w:val="9"/>
    <w:rPr>
      <w:b/>
      <w:bCs/>
      <w:sz w:val="32"/>
      <w:szCs w:val="32"/>
    </w:rPr>
  </w:style>
  <w:style w:type="character" w:customStyle="1" w:styleId="18">
    <w:name w:val="正文文本缩进 Char"/>
    <w:basedOn w:val="13"/>
    <w:link w:val="3"/>
    <w:semiHidden/>
    <w:qFormat/>
    <w:uiPriority w:val="99"/>
  </w:style>
  <w:style w:type="character" w:customStyle="1" w:styleId="19">
    <w:name w:val="正文首行缩进 2 Char"/>
    <w:basedOn w:val="18"/>
    <w:link w:val="2"/>
    <w:qFormat/>
    <w:uiPriority w:val="0"/>
    <w:rPr>
      <w:b/>
      <w:sz w:val="24"/>
      <w:szCs w:val="24"/>
    </w:rPr>
  </w:style>
  <w:style w:type="character" w:customStyle="1" w:styleId="20">
    <w:name w:val="日期 Char"/>
    <w:basedOn w:val="13"/>
    <w:link w:val="9"/>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4550</Words>
  <Characters>4826</Characters>
  <Lines>30</Lines>
  <Paragraphs>8</Paragraphs>
  <TotalTime>295</TotalTime>
  <ScaleCrop>false</ScaleCrop>
  <LinksUpToDate>false</LinksUpToDate>
  <CharactersWithSpaces>4828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2020-11-12T03:46:00Z</dcterms:created>
  <dc:creator>Windows 用户</dc:creator>
  <cp:lastModifiedBy>Administrator</cp:lastModifiedBy>
  <cp:lastPrinted>2022-11-28T02:54:00Z</cp:lastPrinted>
  <dcterms:modified xsi:type="dcterms:W3CDTF">2024-09-19T03:01:57Z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D4646FF1358B4AAD847DA7B93F38DB19</vt:lpwstr>
  </property>
</Properties>
</file>