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rPr>
          <w:rFonts w:hint="eastAsia"/>
          <w:color w:val="auto"/>
          <w:sz w:val="32"/>
        </w:rPr>
      </w:pPr>
    </w:p>
    <w:p>
      <w:pPr>
        <w:shd w:val="clear"/>
        <w:jc w:val="center"/>
        <w:rPr>
          <w:rFonts w:hint="eastAsia" w:eastAsia="黑体"/>
          <w:b/>
          <w:bCs/>
          <w:color w:val="auto"/>
          <w:sz w:val="44"/>
        </w:rPr>
      </w:pPr>
      <w:r>
        <w:rPr>
          <w:rFonts w:hint="eastAsia" w:eastAsia="黑体"/>
          <w:b/>
          <w:bCs/>
          <w:color w:val="auto"/>
          <w:sz w:val="44"/>
          <w:lang w:val="en-US" w:eastAsia="zh-CN"/>
        </w:rPr>
        <w:t>2022年</w:t>
      </w:r>
      <w:r>
        <w:rPr>
          <w:rFonts w:hint="eastAsia" w:eastAsia="黑体"/>
          <w:b/>
          <w:bCs/>
          <w:color w:val="auto"/>
          <w:sz w:val="44"/>
        </w:rPr>
        <w:t>伊吾县与自治区有关结算</w:t>
      </w:r>
      <w:r>
        <w:rPr>
          <w:rFonts w:hint="eastAsia" w:eastAsia="黑体"/>
          <w:b/>
          <w:bCs/>
          <w:color w:val="auto"/>
          <w:sz w:val="44"/>
          <w:lang w:eastAsia="zh-CN"/>
        </w:rPr>
        <w:t>说明</w:t>
      </w:r>
    </w:p>
    <w:p>
      <w:pPr>
        <w:shd w:val="clear"/>
        <w:jc w:val="center"/>
        <w:rPr>
          <w:rFonts w:hint="eastAsia" w:eastAsia="黑体"/>
          <w:b/>
          <w:bCs/>
          <w:color w:val="auto"/>
          <w:sz w:val="44"/>
        </w:rPr>
      </w:pP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ascii="宋体" w:hAnsi="宋体" w:cs="宋体"/>
          <w:color w:val="FF0000"/>
          <w:sz w:val="32"/>
          <w:szCs w:val="32"/>
          <w:highlight w:val="none"/>
          <w:lang w:val="en-US"/>
        </w:rPr>
      </w:pPr>
      <w:r>
        <w:rPr>
          <w:rFonts w:hint="eastAsia"/>
          <w:color w:val="auto"/>
          <w:sz w:val="32"/>
          <w:highlight w:val="none"/>
        </w:rPr>
        <w:t>1、列入“</w:t>
      </w:r>
      <w:r>
        <w:rPr>
          <w:rFonts w:hint="eastAsia"/>
          <w:bCs/>
          <w:color w:val="auto"/>
          <w:sz w:val="32"/>
          <w:szCs w:val="32"/>
          <w:highlight w:val="none"/>
        </w:rPr>
        <w:t>体制补助收入（定额补助）”</w:t>
      </w:r>
      <w:r>
        <w:rPr>
          <w:rFonts w:hint="eastAsia"/>
          <w:bCs/>
          <w:color w:val="auto"/>
          <w:sz w:val="32"/>
          <w:szCs w:val="32"/>
          <w:highlight w:val="none"/>
          <w:lang w:val="en-US" w:eastAsia="zh-CN"/>
        </w:rPr>
        <w:t>2212.6</w:t>
      </w:r>
      <w:r>
        <w:rPr>
          <w:rFonts w:hint="eastAsia"/>
          <w:bCs/>
          <w:color w:val="auto"/>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eastAsia"/>
          <w:color w:val="auto"/>
          <w:sz w:val="32"/>
          <w:szCs w:val="32"/>
          <w:highlight w:val="none"/>
          <w:lang w:eastAsia="zh-CN"/>
        </w:rPr>
      </w:pPr>
      <w:r>
        <w:rPr>
          <w:rFonts w:hint="default" w:ascii="Times New Roman" w:hAnsi="Times New Roman" w:cs="Times New Roman"/>
          <w:color w:val="auto"/>
          <w:sz w:val="32"/>
          <w:szCs w:val="32"/>
          <w:highlight w:val="none"/>
        </w:rPr>
        <w:t>2、</w:t>
      </w:r>
      <w:r>
        <w:rPr>
          <w:rFonts w:hint="eastAsia" w:ascii="宋体" w:hAnsi="宋体" w:cs="宋体"/>
          <w:color w:val="auto"/>
          <w:sz w:val="32"/>
          <w:szCs w:val="32"/>
          <w:highlight w:val="none"/>
        </w:rPr>
        <w:t>列入“</w:t>
      </w:r>
      <w:r>
        <w:rPr>
          <w:rFonts w:hint="eastAsia"/>
          <w:bCs/>
          <w:color w:val="auto"/>
          <w:sz w:val="32"/>
          <w:szCs w:val="32"/>
          <w:highlight w:val="none"/>
        </w:rPr>
        <w:t>增值税税收返还收入</w:t>
      </w:r>
      <w:r>
        <w:rPr>
          <w:rFonts w:hint="eastAsia" w:ascii="宋体" w:hAnsi="宋体" w:cs="宋体"/>
          <w:color w:val="auto"/>
          <w:sz w:val="32"/>
          <w:szCs w:val="32"/>
          <w:highlight w:val="none"/>
        </w:rPr>
        <w:t>”</w:t>
      </w:r>
      <w:r>
        <w:rPr>
          <w:rFonts w:hint="default" w:ascii="Times New Roman" w:hAnsi="Times New Roman" w:cs="Times New Roman"/>
          <w:color w:val="auto"/>
          <w:sz w:val="32"/>
          <w:szCs w:val="32"/>
          <w:highlight w:val="none"/>
        </w:rPr>
        <w:t xml:space="preserve"> 10</w:t>
      </w:r>
      <w:r>
        <w:rPr>
          <w:rFonts w:hint="default" w:ascii="Times New Roman" w:hAnsi="Times New Roman" w:cs="Times New Roman"/>
          <w:color w:val="auto"/>
          <w:sz w:val="32"/>
          <w:szCs w:val="32"/>
          <w:highlight w:val="none"/>
          <w:lang w:val="en-US" w:eastAsia="zh-CN"/>
        </w:rPr>
        <w:t>5</w:t>
      </w:r>
      <w:r>
        <w:rPr>
          <w:rFonts w:hint="default" w:ascii="Times New Roman" w:hAnsi="Times New Roman" w:cs="Times New Roman"/>
          <w:color w:val="auto"/>
          <w:sz w:val="32"/>
          <w:szCs w:val="32"/>
          <w:highlight w:val="none"/>
        </w:rPr>
        <w:t>5</w:t>
      </w:r>
      <w:r>
        <w:rPr>
          <w:rFonts w:hint="eastAsia" w:ascii="宋体" w:hAnsi="宋体" w:cs="宋体"/>
          <w:color w:val="auto"/>
          <w:sz w:val="32"/>
          <w:szCs w:val="32"/>
          <w:highlight w:val="none"/>
        </w:rPr>
        <w:t>万元</w:t>
      </w:r>
      <w:r>
        <w:rPr>
          <w:rFonts w:hint="eastAsia" w:ascii="宋体" w:hAnsi="宋体" w:cs="宋体"/>
          <w:color w:val="auto"/>
          <w:sz w:val="32"/>
          <w:szCs w:val="32"/>
          <w:highlight w:val="none"/>
          <w:lang w:eastAsia="zh-CN"/>
        </w:rPr>
        <w:t>，</w:t>
      </w:r>
      <w:r>
        <w:rPr>
          <w:rFonts w:hint="eastAsia" w:ascii="宋体" w:hAnsi="宋体" w:cs="宋体"/>
          <w:color w:val="auto"/>
          <w:sz w:val="32"/>
          <w:szCs w:val="32"/>
          <w:highlight w:val="none"/>
        </w:rPr>
        <w:t>包括：</w:t>
      </w:r>
      <w:r>
        <w:rPr>
          <w:rFonts w:hint="eastAsia"/>
          <w:color w:val="auto"/>
          <w:sz w:val="32"/>
          <w:szCs w:val="32"/>
          <w:highlight w:val="none"/>
        </w:rPr>
        <w:t>2008年税收返还基数827万元</w:t>
      </w:r>
      <w:r>
        <w:rPr>
          <w:rFonts w:hint="eastAsia"/>
          <w:color w:val="auto"/>
          <w:sz w:val="32"/>
          <w:szCs w:val="32"/>
          <w:highlight w:val="none"/>
          <w:lang w:eastAsia="zh-CN"/>
        </w:rPr>
        <w:t>，</w:t>
      </w:r>
      <w:r>
        <w:rPr>
          <w:rFonts w:hint="eastAsia"/>
          <w:color w:val="auto"/>
          <w:sz w:val="20"/>
          <w:szCs w:val="20"/>
          <w:highlight w:val="none"/>
        </w:rPr>
        <w:t xml:space="preserve"> </w:t>
      </w:r>
      <w:r>
        <w:rPr>
          <w:rFonts w:hint="eastAsia"/>
          <w:color w:val="auto"/>
          <w:sz w:val="32"/>
          <w:szCs w:val="32"/>
          <w:highlight w:val="none"/>
        </w:rPr>
        <w:t>2009年新增补助-178万元</w:t>
      </w:r>
      <w:r>
        <w:rPr>
          <w:rFonts w:hint="eastAsia"/>
          <w:color w:val="auto"/>
          <w:sz w:val="32"/>
          <w:szCs w:val="32"/>
          <w:highlight w:val="none"/>
          <w:lang w:eastAsia="zh-CN"/>
        </w:rPr>
        <w:t>，</w:t>
      </w:r>
      <w:r>
        <w:rPr>
          <w:rFonts w:hint="eastAsia"/>
          <w:color w:val="auto"/>
          <w:sz w:val="32"/>
          <w:szCs w:val="32"/>
          <w:highlight w:val="none"/>
        </w:rPr>
        <w:t>2010年新增补助20万元</w:t>
      </w:r>
      <w:r>
        <w:rPr>
          <w:rFonts w:hint="eastAsia"/>
          <w:color w:val="auto"/>
          <w:sz w:val="32"/>
          <w:szCs w:val="32"/>
          <w:highlight w:val="none"/>
          <w:lang w:eastAsia="zh-CN"/>
        </w:rPr>
        <w:t>，</w:t>
      </w:r>
      <w:r>
        <w:rPr>
          <w:rFonts w:hint="eastAsia"/>
          <w:color w:val="auto"/>
          <w:sz w:val="32"/>
          <w:szCs w:val="32"/>
          <w:highlight w:val="none"/>
        </w:rPr>
        <w:t>2011年新增补助26万元</w:t>
      </w:r>
      <w:r>
        <w:rPr>
          <w:rFonts w:hint="eastAsia"/>
          <w:color w:val="auto"/>
          <w:sz w:val="32"/>
          <w:szCs w:val="32"/>
          <w:highlight w:val="none"/>
          <w:lang w:eastAsia="zh-CN"/>
        </w:rPr>
        <w:t>，</w:t>
      </w:r>
      <w:r>
        <w:rPr>
          <w:rFonts w:hint="eastAsia"/>
          <w:color w:val="auto"/>
          <w:sz w:val="32"/>
          <w:szCs w:val="32"/>
          <w:highlight w:val="none"/>
        </w:rPr>
        <w:t>2012年新增补助228万元</w:t>
      </w:r>
      <w:r>
        <w:rPr>
          <w:rFonts w:hint="eastAsia"/>
          <w:color w:val="auto"/>
          <w:sz w:val="32"/>
          <w:szCs w:val="32"/>
          <w:highlight w:val="none"/>
          <w:lang w:eastAsia="zh-CN"/>
        </w:rPr>
        <w:t>，</w:t>
      </w:r>
      <w:r>
        <w:rPr>
          <w:rFonts w:hint="eastAsia"/>
          <w:color w:val="auto"/>
          <w:sz w:val="32"/>
          <w:szCs w:val="32"/>
          <w:highlight w:val="none"/>
        </w:rPr>
        <w:t>2013年新增补助267万元</w:t>
      </w:r>
      <w:r>
        <w:rPr>
          <w:rFonts w:hint="eastAsia"/>
          <w:color w:val="auto"/>
          <w:sz w:val="32"/>
          <w:szCs w:val="32"/>
          <w:highlight w:val="none"/>
          <w:lang w:eastAsia="zh-CN"/>
        </w:rPr>
        <w:t>，</w:t>
      </w:r>
      <w:r>
        <w:rPr>
          <w:rFonts w:hint="eastAsia"/>
          <w:color w:val="auto"/>
          <w:sz w:val="32"/>
          <w:szCs w:val="32"/>
          <w:highlight w:val="none"/>
        </w:rPr>
        <w:t>2014年新增补助-54万元</w:t>
      </w:r>
      <w:r>
        <w:rPr>
          <w:rFonts w:hint="eastAsia"/>
          <w:color w:val="auto"/>
          <w:sz w:val="32"/>
          <w:szCs w:val="32"/>
          <w:highlight w:val="none"/>
          <w:lang w:eastAsia="zh-CN"/>
        </w:rPr>
        <w:t>，</w:t>
      </w:r>
      <w:r>
        <w:rPr>
          <w:rFonts w:hint="eastAsia"/>
          <w:color w:val="auto"/>
          <w:sz w:val="32"/>
          <w:szCs w:val="32"/>
          <w:highlight w:val="none"/>
        </w:rPr>
        <w:t>2015年新增补助-81万元</w:t>
      </w:r>
      <w:r>
        <w:rPr>
          <w:rFonts w:hint="eastAsia"/>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eastAsia"/>
          <w:color w:val="auto"/>
          <w:sz w:val="32"/>
          <w:highlight w:val="none"/>
        </w:rPr>
      </w:pPr>
      <w:r>
        <w:rPr>
          <w:rFonts w:hint="eastAsia"/>
          <w:bCs/>
          <w:color w:val="auto"/>
          <w:sz w:val="32"/>
          <w:szCs w:val="32"/>
          <w:highlight w:val="none"/>
        </w:rPr>
        <w:t>3、列入“所得税基数返还收入”</w:t>
      </w:r>
      <w:r>
        <w:rPr>
          <w:rFonts w:hint="eastAsia"/>
          <w:color w:val="auto"/>
          <w:sz w:val="32"/>
          <w:szCs w:val="32"/>
          <w:highlight w:val="none"/>
        </w:rPr>
        <w:t xml:space="preserve"> 新财预[2002]121号</w:t>
      </w:r>
      <w:r>
        <w:rPr>
          <w:rFonts w:hint="eastAsia"/>
          <w:color w:val="auto"/>
          <w:sz w:val="32"/>
          <w:highlight w:val="none"/>
        </w:rPr>
        <w:t>文件下达10万元。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eastAsia"/>
          <w:color w:val="auto"/>
          <w:sz w:val="32"/>
          <w:highlight w:val="none"/>
          <w:lang w:val="en-US" w:eastAsia="zh-CN"/>
        </w:rPr>
      </w:pPr>
      <w:r>
        <w:rPr>
          <w:rFonts w:hint="eastAsia"/>
          <w:color w:val="auto"/>
          <w:sz w:val="32"/>
          <w:highlight w:val="none"/>
          <w:lang w:val="en-US" w:eastAsia="zh-CN"/>
        </w:rPr>
        <w:t>4、列入“增值税“五五分享”税收返还收入”税收返还820万元。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color w:val="auto"/>
          <w:sz w:val="32"/>
          <w:highlight w:val="none"/>
          <w:lang w:val="en-US" w:eastAsia="zh-CN"/>
        </w:rPr>
      </w:pPr>
      <w:r>
        <w:rPr>
          <w:rFonts w:hint="eastAsia"/>
          <w:color w:val="auto"/>
          <w:sz w:val="32"/>
          <w:highlight w:val="none"/>
          <w:lang w:val="en-US" w:eastAsia="zh-CN"/>
        </w:rPr>
        <w:t>5、列入“其他返还性收入”463万元，为兵团辖区税收基数463万元。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color w:val="auto"/>
          <w:sz w:val="32"/>
          <w:highlight w:val="none"/>
          <w:lang w:val="en-US"/>
        </w:rPr>
      </w:pPr>
      <w:r>
        <w:rPr>
          <w:rFonts w:hint="eastAsia"/>
          <w:bCs/>
          <w:color w:val="auto"/>
          <w:sz w:val="32"/>
          <w:szCs w:val="32"/>
          <w:highlight w:val="none"/>
          <w:shd w:val="clear"/>
          <w:lang w:val="en-US" w:eastAsia="zh-CN"/>
        </w:rPr>
        <w:t>6</w:t>
      </w:r>
      <w:r>
        <w:rPr>
          <w:rFonts w:hint="eastAsia"/>
          <w:bCs/>
          <w:color w:val="auto"/>
          <w:sz w:val="32"/>
          <w:szCs w:val="32"/>
          <w:highlight w:val="none"/>
          <w:shd w:val="clear"/>
        </w:rPr>
        <w:t>、</w:t>
      </w:r>
      <w:r>
        <w:rPr>
          <w:rFonts w:hint="eastAsia"/>
          <w:color w:val="auto"/>
          <w:sz w:val="32"/>
          <w:highlight w:val="none"/>
          <w:shd w:val="clear"/>
        </w:rPr>
        <w:t>列入</w:t>
      </w:r>
      <w:r>
        <w:rPr>
          <w:rFonts w:hint="eastAsia" w:ascii="宋体" w:hAnsi="宋体"/>
          <w:color w:val="auto"/>
          <w:sz w:val="32"/>
          <w:highlight w:val="none"/>
          <w:shd w:val="clear"/>
        </w:rPr>
        <w:t>“</w:t>
      </w:r>
      <w:r>
        <w:rPr>
          <w:rFonts w:hint="eastAsia"/>
          <w:color w:val="auto"/>
          <w:sz w:val="32"/>
          <w:highlight w:val="none"/>
          <w:shd w:val="clear"/>
        </w:rPr>
        <w:t>均衡性转移支付收入</w:t>
      </w:r>
      <w:r>
        <w:rPr>
          <w:rFonts w:hint="eastAsia" w:ascii="宋体" w:hAnsi="宋体"/>
          <w:color w:val="auto"/>
          <w:sz w:val="32"/>
          <w:highlight w:val="none"/>
          <w:shd w:val="clear"/>
        </w:rPr>
        <w:t>”</w:t>
      </w:r>
      <w:r>
        <w:rPr>
          <w:rFonts w:hint="eastAsia" w:cs="Times New Roman"/>
          <w:color w:val="auto"/>
          <w:sz w:val="32"/>
          <w:highlight w:val="none"/>
          <w:shd w:val="clear"/>
          <w:lang w:val="en-US" w:eastAsia="zh-CN"/>
        </w:rPr>
        <w:t>8519</w:t>
      </w:r>
      <w:r>
        <w:rPr>
          <w:rFonts w:hint="eastAsia"/>
          <w:color w:val="auto"/>
          <w:sz w:val="32"/>
          <w:highlight w:val="none"/>
          <w:shd w:val="clear"/>
        </w:rPr>
        <w:t>万元</w:t>
      </w:r>
      <w:r>
        <w:rPr>
          <w:rFonts w:hint="eastAsia"/>
          <w:color w:val="auto"/>
          <w:sz w:val="32"/>
          <w:highlight w:val="none"/>
          <w:shd w:val="clear"/>
          <w:lang w:eastAsia="zh-CN"/>
        </w:rPr>
        <w:t>，</w:t>
      </w:r>
      <w:r>
        <w:rPr>
          <w:rFonts w:hint="eastAsia" w:ascii="宋体" w:hAnsi="宋体"/>
          <w:color w:val="auto"/>
          <w:sz w:val="32"/>
          <w:highlight w:val="none"/>
          <w:shd w:val="clear"/>
        </w:rPr>
        <w:t>包括：</w:t>
      </w:r>
      <w:r>
        <w:rPr>
          <w:rFonts w:hint="eastAsia"/>
          <w:color w:val="auto"/>
          <w:sz w:val="32"/>
          <w:szCs w:val="32"/>
          <w:highlight w:val="none"/>
          <w:shd w:val="clear"/>
        </w:rPr>
        <w:t>新财预[2013]12号</w:t>
      </w:r>
      <w:r>
        <w:rPr>
          <w:rFonts w:hint="eastAsia"/>
          <w:color w:val="auto"/>
          <w:sz w:val="32"/>
          <w:szCs w:val="32"/>
          <w:highlight w:val="none"/>
          <w:shd w:val="clear"/>
          <w:lang w:eastAsia="zh-CN"/>
        </w:rPr>
        <w:t>下达2013年自治区对下均衡性转移支付补助资金</w:t>
      </w:r>
      <w:r>
        <w:rPr>
          <w:rFonts w:hint="eastAsia"/>
          <w:color w:val="auto"/>
          <w:sz w:val="32"/>
          <w:szCs w:val="32"/>
          <w:highlight w:val="none"/>
          <w:shd w:val="clear"/>
        </w:rPr>
        <w:t>2348万元</w:t>
      </w:r>
      <w:r>
        <w:rPr>
          <w:rFonts w:hint="eastAsia"/>
          <w:color w:val="auto"/>
          <w:sz w:val="32"/>
          <w:szCs w:val="32"/>
          <w:highlight w:val="none"/>
          <w:shd w:val="clear"/>
          <w:lang w:eastAsia="zh-CN"/>
        </w:rPr>
        <w:t>，</w:t>
      </w:r>
      <w:r>
        <w:rPr>
          <w:rFonts w:hint="eastAsia"/>
          <w:color w:val="auto"/>
          <w:sz w:val="32"/>
          <w:highlight w:val="none"/>
          <w:shd w:val="clear"/>
        </w:rPr>
        <w:t>新财预[2008]146号下达</w:t>
      </w:r>
      <w:r>
        <w:rPr>
          <w:rFonts w:hint="eastAsia"/>
          <w:color w:val="auto"/>
          <w:sz w:val="32"/>
          <w:szCs w:val="32"/>
          <w:highlight w:val="none"/>
          <w:shd w:val="clear"/>
        </w:rPr>
        <w:t>2007年津贴补贴转移支付补助基数714万元</w:t>
      </w:r>
      <w:r>
        <w:rPr>
          <w:rFonts w:hint="eastAsia"/>
          <w:color w:val="auto"/>
          <w:sz w:val="32"/>
          <w:szCs w:val="32"/>
          <w:highlight w:val="none"/>
          <w:shd w:val="clear"/>
          <w:lang w:eastAsia="zh-CN"/>
        </w:rPr>
        <w:t>，</w:t>
      </w:r>
      <w:r>
        <w:rPr>
          <w:rFonts w:hint="eastAsia"/>
          <w:color w:val="auto"/>
          <w:sz w:val="32"/>
          <w:highlight w:val="none"/>
          <w:shd w:val="clear"/>
        </w:rPr>
        <w:t>新财预[2009]112号下达</w:t>
      </w:r>
      <w:r>
        <w:rPr>
          <w:rFonts w:hint="eastAsia"/>
          <w:color w:val="auto"/>
          <w:sz w:val="32"/>
          <w:szCs w:val="32"/>
          <w:highlight w:val="none"/>
          <w:shd w:val="clear"/>
        </w:rPr>
        <w:t>2009年津贴补贴转移支付补助基数67万元</w:t>
      </w:r>
      <w:r>
        <w:rPr>
          <w:rFonts w:hint="eastAsia"/>
          <w:color w:val="auto"/>
          <w:sz w:val="32"/>
          <w:szCs w:val="32"/>
          <w:highlight w:val="none"/>
          <w:shd w:val="clear"/>
          <w:lang w:eastAsia="zh-CN"/>
        </w:rPr>
        <w:t>，</w:t>
      </w:r>
      <w:r>
        <w:rPr>
          <w:rFonts w:hint="eastAsia"/>
          <w:color w:val="auto"/>
          <w:sz w:val="32"/>
          <w:szCs w:val="32"/>
          <w:highlight w:val="none"/>
          <w:shd w:val="clear"/>
        </w:rPr>
        <w:t>新财预[2011]68号</w:t>
      </w:r>
      <w:r>
        <w:rPr>
          <w:rFonts w:hint="eastAsia"/>
          <w:color w:val="auto"/>
          <w:sz w:val="32"/>
          <w:highlight w:val="none"/>
          <w:shd w:val="clear"/>
        </w:rPr>
        <w:t>下达</w:t>
      </w:r>
      <w:r>
        <w:rPr>
          <w:rFonts w:hint="eastAsia"/>
          <w:color w:val="auto"/>
          <w:sz w:val="32"/>
          <w:szCs w:val="32"/>
          <w:highlight w:val="none"/>
          <w:shd w:val="clear"/>
        </w:rPr>
        <w:t>2010年津贴补贴转移支付补助基数1484万元</w:t>
      </w:r>
      <w:r>
        <w:rPr>
          <w:rFonts w:hint="eastAsia"/>
          <w:color w:val="auto"/>
          <w:sz w:val="32"/>
          <w:szCs w:val="32"/>
          <w:highlight w:val="none"/>
          <w:shd w:val="clear"/>
          <w:lang w:eastAsia="zh-CN"/>
        </w:rPr>
        <w:t>，</w:t>
      </w:r>
      <w:r>
        <w:rPr>
          <w:rFonts w:hint="eastAsia"/>
          <w:color w:val="auto"/>
          <w:sz w:val="32"/>
          <w:szCs w:val="32"/>
          <w:highlight w:val="none"/>
          <w:shd w:val="clear"/>
        </w:rPr>
        <w:t>新财预[2012]103号</w:t>
      </w:r>
      <w:r>
        <w:rPr>
          <w:rFonts w:hint="eastAsia"/>
          <w:color w:val="auto"/>
          <w:sz w:val="32"/>
          <w:highlight w:val="none"/>
          <w:shd w:val="clear"/>
        </w:rPr>
        <w:t>下达</w:t>
      </w:r>
      <w:r>
        <w:rPr>
          <w:rFonts w:hint="eastAsia"/>
          <w:color w:val="auto"/>
          <w:sz w:val="32"/>
          <w:szCs w:val="32"/>
          <w:highlight w:val="none"/>
          <w:shd w:val="clear"/>
        </w:rPr>
        <w:t>2012年津贴补贴转移支付补助基数1734万元</w:t>
      </w:r>
      <w:r>
        <w:rPr>
          <w:rFonts w:hint="eastAsia"/>
          <w:color w:val="auto"/>
          <w:sz w:val="32"/>
          <w:szCs w:val="32"/>
          <w:highlight w:val="none"/>
          <w:shd w:val="clear"/>
          <w:lang w:eastAsia="zh-CN"/>
        </w:rPr>
        <w:t>，</w:t>
      </w:r>
      <w:r>
        <w:rPr>
          <w:rFonts w:hint="eastAsia"/>
          <w:color w:val="auto"/>
          <w:sz w:val="32"/>
          <w:szCs w:val="32"/>
          <w:highlight w:val="none"/>
          <w:shd w:val="clear"/>
        </w:rPr>
        <w:t>新财预［2013］37号</w:t>
      </w:r>
      <w:r>
        <w:rPr>
          <w:rFonts w:hint="eastAsia"/>
          <w:color w:val="auto"/>
          <w:sz w:val="32"/>
          <w:highlight w:val="none"/>
          <w:shd w:val="clear"/>
        </w:rPr>
        <w:t>下达</w:t>
      </w:r>
      <w:r>
        <w:rPr>
          <w:rFonts w:hint="eastAsia"/>
          <w:color w:val="auto"/>
          <w:sz w:val="32"/>
          <w:szCs w:val="32"/>
          <w:highlight w:val="none"/>
          <w:shd w:val="clear"/>
        </w:rPr>
        <w:t>1993年工资制度改革前机关事业单位退休人员退休费补助资金40万元</w:t>
      </w:r>
      <w:r>
        <w:rPr>
          <w:rFonts w:hint="eastAsia"/>
          <w:color w:val="auto"/>
          <w:sz w:val="32"/>
          <w:szCs w:val="32"/>
          <w:highlight w:val="none"/>
          <w:shd w:val="clear"/>
          <w:lang w:eastAsia="zh-CN"/>
        </w:rPr>
        <w:t>，</w:t>
      </w:r>
      <w:r>
        <w:rPr>
          <w:rFonts w:hint="eastAsia"/>
          <w:bCs/>
          <w:color w:val="auto"/>
          <w:sz w:val="32"/>
          <w:szCs w:val="32"/>
          <w:highlight w:val="none"/>
          <w:shd w:val="clear"/>
          <w:lang w:val="en-US" w:eastAsia="zh-CN"/>
        </w:rPr>
        <w:t>新财预[2019]95号下达2019年均衡性转移支付资金增量（2019年增资预留资金）1555万元，</w:t>
      </w:r>
      <w:r>
        <w:rPr>
          <w:rFonts w:hint="eastAsia"/>
          <w:bCs/>
          <w:color w:val="auto"/>
          <w:sz w:val="32"/>
          <w:szCs w:val="32"/>
          <w:highlight w:val="none"/>
          <w:lang w:val="en-US" w:eastAsia="zh-CN"/>
        </w:rPr>
        <w:t>新财预[2021]98号下达2022年农业转移人口市民化奖励资金200万元，新财预[2022]41号下达2022年农业转移人口市民化奖励资金160万元，新财预[2022]81号下达2022年农业转移人口市民化奖励资金217万元。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ascii="Times New Roman" w:hAnsi="Times New Roman" w:eastAsia="宋体" w:cs="Times New Roman"/>
          <w:color w:val="FF0000"/>
          <w:sz w:val="32"/>
          <w:szCs w:val="32"/>
          <w:highlight w:val="none"/>
          <w:lang w:val="en-US" w:eastAsia="zh-CN"/>
        </w:rPr>
      </w:pPr>
      <w:r>
        <w:rPr>
          <w:rFonts w:hint="default" w:ascii="Times New Roman" w:hAnsi="Times New Roman" w:cs="Times New Roman"/>
          <w:bCs/>
          <w:color w:val="auto"/>
          <w:sz w:val="32"/>
          <w:szCs w:val="32"/>
          <w:highlight w:val="none"/>
          <w:lang w:val="en-US" w:eastAsia="zh-CN"/>
        </w:rPr>
        <w:t>7</w:t>
      </w:r>
      <w:r>
        <w:rPr>
          <w:rFonts w:hint="default" w:ascii="Times New Roman" w:hAnsi="Times New Roman" w:cs="Times New Roman"/>
          <w:bCs/>
          <w:color w:val="auto"/>
          <w:sz w:val="32"/>
          <w:szCs w:val="32"/>
          <w:highlight w:val="none"/>
        </w:rPr>
        <w:t>、</w:t>
      </w:r>
      <w:r>
        <w:rPr>
          <w:rFonts w:hint="default" w:ascii="Times New Roman" w:hAnsi="Times New Roman" w:eastAsia="宋体" w:cs="Times New Roman"/>
          <w:bCs/>
          <w:color w:val="auto"/>
          <w:sz w:val="32"/>
          <w:szCs w:val="32"/>
          <w:highlight w:val="none"/>
        </w:rPr>
        <w:t>列入“</w:t>
      </w:r>
      <w:r>
        <w:rPr>
          <w:rFonts w:hint="default" w:ascii="Times New Roman" w:hAnsi="Times New Roman" w:eastAsia="宋体" w:cs="Times New Roman"/>
          <w:bCs/>
          <w:color w:val="auto"/>
          <w:sz w:val="32"/>
          <w:szCs w:val="32"/>
          <w:highlight w:val="none"/>
          <w:lang w:eastAsia="zh-CN"/>
        </w:rPr>
        <w:t>边境</w:t>
      </w:r>
      <w:r>
        <w:rPr>
          <w:rFonts w:hint="default" w:ascii="Times New Roman" w:hAnsi="Times New Roman" w:eastAsia="宋体" w:cs="Times New Roman"/>
          <w:bCs/>
          <w:color w:val="auto"/>
          <w:sz w:val="32"/>
          <w:szCs w:val="32"/>
          <w:highlight w:val="none"/>
        </w:rPr>
        <w:t>地区转移支付支出”</w:t>
      </w:r>
      <w:r>
        <w:rPr>
          <w:rFonts w:hint="eastAsia" w:cs="Times New Roman"/>
          <w:bCs/>
          <w:color w:val="auto"/>
          <w:sz w:val="32"/>
          <w:szCs w:val="32"/>
          <w:highlight w:val="none"/>
          <w:lang w:val="en-US" w:eastAsia="zh-CN"/>
        </w:rPr>
        <w:t>10127.043</w:t>
      </w:r>
      <w:r>
        <w:rPr>
          <w:rFonts w:hint="default" w:ascii="Times New Roman" w:hAnsi="Times New Roman" w:eastAsia="宋体" w:cs="Times New Roman"/>
          <w:bCs/>
          <w:color w:val="auto"/>
          <w:sz w:val="32"/>
          <w:szCs w:val="32"/>
          <w:highlight w:val="none"/>
        </w:rPr>
        <w:t>万元</w:t>
      </w:r>
      <w:r>
        <w:rPr>
          <w:rFonts w:hint="eastAsia" w:cs="Times New Roman"/>
          <w:bCs/>
          <w:color w:val="auto"/>
          <w:sz w:val="32"/>
          <w:szCs w:val="32"/>
          <w:highlight w:val="none"/>
          <w:lang w:eastAsia="zh-CN"/>
        </w:rPr>
        <w:t>，</w:t>
      </w:r>
      <w:r>
        <w:rPr>
          <w:rFonts w:hint="default" w:ascii="Times New Roman" w:hAnsi="Times New Roman" w:eastAsia="宋体" w:cs="Times New Roman"/>
          <w:bCs/>
          <w:color w:val="auto"/>
          <w:sz w:val="32"/>
          <w:szCs w:val="32"/>
          <w:highlight w:val="none"/>
        </w:rPr>
        <w:t>包括：</w:t>
      </w:r>
      <w:r>
        <w:rPr>
          <w:rFonts w:hint="default" w:ascii="Times New Roman" w:hAnsi="Times New Roman" w:eastAsia="宋体" w:cs="Times New Roman"/>
          <w:color w:val="auto"/>
          <w:sz w:val="32"/>
          <w:szCs w:val="32"/>
          <w:highlight w:val="none"/>
        </w:rPr>
        <w:t>新财预</w:t>
      </w:r>
      <w:r>
        <w:rPr>
          <w:rFonts w:hint="eastAsia" w:cs="Times New Roman"/>
          <w:color w:val="auto"/>
          <w:sz w:val="32"/>
          <w:szCs w:val="32"/>
          <w:highlight w:val="none"/>
          <w:lang w:val="en-US" w:eastAsia="zh-CN"/>
        </w:rPr>
        <w:t>[2021]95</w:t>
      </w:r>
      <w:r>
        <w:rPr>
          <w:rFonts w:hint="default" w:ascii="Times New Roman" w:hAnsi="Times New Roman" w:eastAsia="宋体" w:cs="Times New Roman"/>
          <w:color w:val="auto"/>
          <w:sz w:val="32"/>
          <w:szCs w:val="32"/>
          <w:highlight w:val="none"/>
        </w:rPr>
        <w:t>号</w:t>
      </w:r>
      <w:r>
        <w:rPr>
          <w:rFonts w:hint="default" w:ascii="Times New Roman" w:hAnsi="Times New Roman" w:eastAsia="宋体" w:cs="Times New Roman"/>
          <w:color w:val="auto"/>
          <w:sz w:val="32"/>
          <w:highlight w:val="none"/>
        </w:rPr>
        <w:t>下达2022年边境地区转移支付预算</w:t>
      </w:r>
      <w:r>
        <w:rPr>
          <w:rFonts w:hint="eastAsia" w:cs="Times New Roman"/>
          <w:color w:val="auto"/>
          <w:sz w:val="32"/>
          <w:highlight w:val="none"/>
          <w:lang w:val="en-US" w:eastAsia="zh-CN"/>
        </w:rPr>
        <w:t>4037</w:t>
      </w:r>
      <w:r>
        <w:rPr>
          <w:rFonts w:hint="default" w:ascii="Times New Roman" w:hAnsi="Times New Roman" w:eastAsia="宋体" w:cs="Times New Roman"/>
          <w:color w:val="auto"/>
          <w:sz w:val="32"/>
          <w:szCs w:val="32"/>
          <w:highlight w:val="none"/>
        </w:rPr>
        <w:t>万元</w:t>
      </w:r>
      <w:r>
        <w:rPr>
          <w:rFonts w:hint="default" w:ascii="Times New Roman" w:hAnsi="Times New Roman" w:cs="Times New Roman"/>
          <w:color w:val="auto"/>
          <w:sz w:val="32"/>
          <w:szCs w:val="32"/>
          <w:highlight w:val="none"/>
          <w:lang w:val="en-US" w:eastAsia="zh-CN"/>
        </w:rPr>
        <w:t>，</w:t>
      </w:r>
      <w:r>
        <w:rPr>
          <w:rFonts w:hint="default" w:ascii="Times New Roman" w:hAnsi="Times New Roman" w:eastAsia="宋体" w:cs="Times New Roman"/>
          <w:color w:val="auto"/>
          <w:sz w:val="32"/>
          <w:szCs w:val="32"/>
          <w:highlight w:val="none"/>
        </w:rPr>
        <w:t>新财预</w:t>
      </w:r>
      <w:r>
        <w:rPr>
          <w:rFonts w:hint="eastAsia" w:cs="Times New Roman"/>
          <w:color w:val="auto"/>
          <w:sz w:val="32"/>
          <w:szCs w:val="32"/>
          <w:highlight w:val="none"/>
          <w:lang w:val="en-US" w:eastAsia="zh-CN"/>
        </w:rPr>
        <w:t>[2022]36</w:t>
      </w:r>
      <w:r>
        <w:rPr>
          <w:rFonts w:hint="default" w:ascii="Times New Roman" w:hAnsi="Times New Roman" w:eastAsia="宋体" w:cs="Times New Roman"/>
          <w:color w:val="auto"/>
          <w:sz w:val="32"/>
          <w:szCs w:val="32"/>
          <w:highlight w:val="none"/>
        </w:rPr>
        <w:t>号</w:t>
      </w:r>
      <w:r>
        <w:rPr>
          <w:rFonts w:hint="default" w:ascii="Times New Roman" w:hAnsi="Times New Roman" w:cs="Times New Roman"/>
          <w:color w:val="auto"/>
          <w:sz w:val="32"/>
          <w:szCs w:val="32"/>
          <w:highlight w:val="none"/>
          <w:lang w:val="en-US" w:eastAsia="zh-CN"/>
        </w:rPr>
        <w:t>下达202</w:t>
      </w:r>
      <w:r>
        <w:rPr>
          <w:rFonts w:hint="eastAsia" w:cs="Times New Roman"/>
          <w:color w:val="auto"/>
          <w:sz w:val="32"/>
          <w:szCs w:val="32"/>
          <w:highlight w:val="none"/>
          <w:lang w:val="en-US" w:eastAsia="zh-CN"/>
        </w:rPr>
        <w:t>2</w:t>
      </w:r>
      <w:r>
        <w:rPr>
          <w:rFonts w:hint="default" w:ascii="Times New Roman" w:hAnsi="Times New Roman" w:cs="Times New Roman"/>
          <w:color w:val="auto"/>
          <w:sz w:val="32"/>
          <w:szCs w:val="32"/>
          <w:highlight w:val="none"/>
          <w:lang w:val="en-US" w:eastAsia="zh-CN"/>
        </w:rPr>
        <w:t>年</w:t>
      </w:r>
      <w:r>
        <w:rPr>
          <w:rFonts w:hint="eastAsia" w:cs="Times New Roman"/>
          <w:color w:val="auto"/>
          <w:sz w:val="32"/>
          <w:szCs w:val="32"/>
          <w:highlight w:val="none"/>
          <w:lang w:val="en-US" w:eastAsia="zh-CN"/>
        </w:rPr>
        <w:t>边境地区转移支付预算3037万元，</w:t>
      </w:r>
      <w:r>
        <w:rPr>
          <w:rFonts w:hint="default" w:ascii="Times New Roman" w:hAnsi="Times New Roman" w:cs="Times New Roman"/>
          <w:color w:val="auto"/>
          <w:sz w:val="32"/>
          <w:szCs w:val="32"/>
          <w:highlight w:val="none"/>
          <w:lang w:val="en-US" w:eastAsia="zh-CN"/>
        </w:rPr>
        <w:t>新财</w:t>
      </w:r>
      <w:r>
        <w:rPr>
          <w:rFonts w:hint="eastAsia" w:cs="Times New Roman"/>
          <w:color w:val="auto"/>
          <w:sz w:val="32"/>
          <w:szCs w:val="32"/>
          <w:highlight w:val="none"/>
          <w:lang w:val="en-US" w:eastAsia="zh-CN"/>
        </w:rPr>
        <w:t>预</w:t>
      </w:r>
      <w:r>
        <w:rPr>
          <w:rFonts w:hint="default" w:ascii="Times New Roman" w:hAnsi="Times New Roman" w:cs="Times New Roman"/>
          <w:color w:val="auto"/>
          <w:sz w:val="32"/>
          <w:szCs w:val="32"/>
          <w:highlight w:val="none"/>
          <w:lang w:val="en-US" w:eastAsia="zh-CN"/>
        </w:rPr>
        <w:t>[202</w:t>
      </w:r>
      <w:r>
        <w:rPr>
          <w:rFonts w:hint="eastAsia" w:cs="Times New Roman"/>
          <w:color w:val="auto"/>
          <w:sz w:val="32"/>
          <w:szCs w:val="32"/>
          <w:highlight w:val="none"/>
          <w:lang w:val="en-US" w:eastAsia="zh-CN"/>
        </w:rPr>
        <w:t>2</w:t>
      </w:r>
      <w:r>
        <w:rPr>
          <w:rFonts w:hint="default" w:ascii="Times New Roman" w:hAnsi="Times New Roman" w:cs="Times New Roman"/>
          <w:color w:val="auto"/>
          <w:sz w:val="32"/>
          <w:szCs w:val="32"/>
          <w:highlight w:val="none"/>
          <w:lang w:val="en-US" w:eastAsia="zh-CN"/>
        </w:rPr>
        <w:t>]</w:t>
      </w:r>
      <w:r>
        <w:rPr>
          <w:rFonts w:hint="eastAsia" w:cs="Times New Roman"/>
          <w:color w:val="auto"/>
          <w:sz w:val="32"/>
          <w:szCs w:val="32"/>
          <w:highlight w:val="none"/>
          <w:lang w:val="en-US" w:eastAsia="zh-CN"/>
        </w:rPr>
        <w:t>76</w:t>
      </w:r>
      <w:r>
        <w:rPr>
          <w:rFonts w:hint="default" w:ascii="Times New Roman" w:hAnsi="Times New Roman" w:cs="Times New Roman"/>
          <w:color w:val="auto"/>
          <w:sz w:val="32"/>
          <w:szCs w:val="32"/>
          <w:highlight w:val="none"/>
          <w:lang w:val="en-US" w:eastAsia="zh-CN"/>
        </w:rPr>
        <w:t>号</w:t>
      </w:r>
      <w:r>
        <w:rPr>
          <w:rFonts w:hint="eastAsia" w:cs="Times New Roman"/>
          <w:color w:val="auto"/>
          <w:sz w:val="32"/>
          <w:szCs w:val="32"/>
          <w:highlight w:val="none"/>
          <w:lang w:val="en-US" w:eastAsia="zh-CN"/>
        </w:rPr>
        <w:t>下</w:t>
      </w:r>
      <w:r>
        <w:rPr>
          <w:rFonts w:hint="eastAsia" w:asciiTheme="minorEastAsia" w:hAnsiTheme="minorEastAsia" w:eastAsiaTheme="minorEastAsia" w:cstheme="minorEastAsia"/>
          <w:color w:val="auto"/>
          <w:sz w:val="32"/>
          <w:szCs w:val="32"/>
          <w:highlight w:val="none"/>
          <w:lang w:val="en-US" w:eastAsia="zh-CN"/>
        </w:rPr>
        <w:t>达陆地边境疫情防控和边境建设专项财力补助（第二批）预</w:t>
      </w:r>
      <w:r>
        <w:rPr>
          <w:rFonts w:hint="default" w:ascii="Times New Roman" w:hAnsi="Times New Roman" w:cs="Times New Roman" w:eastAsiaTheme="minorEastAsia"/>
          <w:color w:val="auto"/>
          <w:sz w:val="32"/>
          <w:szCs w:val="32"/>
          <w:highlight w:val="none"/>
          <w:lang w:val="en-US" w:eastAsia="zh-CN"/>
        </w:rPr>
        <w:t>算378.14</w:t>
      </w:r>
      <w:r>
        <w:rPr>
          <w:rFonts w:hint="default" w:ascii="Times New Roman" w:hAnsi="Times New Roman" w:cs="Times New Roman"/>
          <w:color w:val="auto"/>
          <w:sz w:val="32"/>
          <w:szCs w:val="32"/>
          <w:highlight w:val="none"/>
          <w:lang w:val="en-US" w:eastAsia="zh-CN"/>
        </w:rPr>
        <w:t>万元，新财行[202</w:t>
      </w:r>
      <w:r>
        <w:rPr>
          <w:rFonts w:hint="eastAsia" w:cs="Times New Roman"/>
          <w:color w:val="auto"/>
          <w:sz w:val="32"/>
          <w:szCs w:val="32"/>
          <w:highlight w:val="none"/>
          <w:lang w:val="en-US" w:eastAsia="zh-CN"/>
        </w:rPr>
        <w:t>1</w:t>
      </w:r>
      <w:r>
        <w:rPr>
          <w:rFonts w:hint="default" w:ascii="Times New Roman" w:hAnsi="Times New Roman" w:cs="Times New Roman"/>
          <w:color w:val="auto"/>
          <w:sz w:val="32"/>
          <w:szCs w:val="32"/>
          <w:highlight w:val="none"/>
          <w:lang w:val="en-US" w:eastAsia="zh-CN"/>
        </w:rPr>
        <w:t>]</w:t>
      </w:r>
      <w:r>
        <w:rPr>
          <w:rFonts w:hint="eastAsia" w:cs="Times New Roman"/>
          <w:color w:val="auto"/>
          <w:sz w:val="32"/>
          <w:szCs w:val="32"/>
          <w:highlight w:val="none"/>
          <w:lang w:val="en-US" w:eastAsia="zh-CN"/>
        </w:rPr>
        <w:t>296</w:t>
      </w:r>
      <w:r>
        <w:rPr>
          <w:rFonts w:hint="default" w:ascii="Times New Roman" w:hAnsi="Times New Roman" w:cs="Times New Roman"/>
          <w:color w:val="auto"/>
          <w:sz w:val="32"/>
          <w:szCs w:val="32"/>
          <w:highlight w:val="none"/>
          <w:lang w:val="en-US" w:eastAsia="zh-CN"/>
        </w:rPr>
        <w:t>号</w:t>
      </w:r>
      <w:r>
        <w:rPr>
          <w:rFonts w:hint="eastAsia" w:cs="Times New Roman"/>
          <w:color w:val="auto"/>
          <w:sz w:val="32"/>
          <w:szCs w:val="32"/>
          <w:highlight w:val="none"/>
          <w:lang w:val="en-US" w:eastAsia="zh-CN"/>
        </w:rPr>
        <w:t>提前下达2022年护边员补助资金2195万元，</w:t>
      </w:r>
      <w:r>
        <w:rPr>
          <w:rFonts w:hint="default" w:ascii="Times New Roman" w:hAnsi="Times New Roman" w:cs="Times New Roman"/>
          <w:color w:val="auto"/>
          <w:sz w:val="32"/>
          <w:szCs w:val="32"/>
          <w:highlight w:val="none"/>
          <w:lang w:val="en-US" w:eastAsia="zh-CN"/>
        </w:rPr>
        <w:t>新财行[202</w:t>
      </w:r>
      <w:r>
        <w:rPr>
          <w:rFonts w:hint="eastAsia" w:cs="Times New Roman"/>
          <w:color w:val="auto"/>
          <w:sz w:val="32"/>
          <w:szCs w:val="32"/>
          <w:highlight w:val="none"/>
          <w:lang w:val="en-US" w:eastAsia="zh-CN"/>
        </w:rPr>
        <w:t>1</w:t>
      </w:r>
      <w:r>
        <w:rPr>
          <w:rFonts w:hint="default" w:ascii="Times New Roman" w:hAnsi="Times New Roman" w:cs="Times New Roman"/>
          <w:color w:val="auto"/>
          <w:sz w:val="32"/>
          <w:szCs w:val="32"/>
          <w:highlight w:val="none"/>
          <w:lang w:val="en-US" w:eastAsia="zh-CN"/>
        </w:rPr>
        <w:t>]</w:t>
      </w:r>
      <w:r>
        <w:rPr>
          <w:rFonts w:hint="eastAsia" w:cs="Times New Roman"/>
          <w:color w:val="auto"/>
          <w:sz w:val="32"/>
          <w:szCs w:val="32"/>
          <w:highlight w:val="none"/>
          <w:lang w:val="en-US" w:eastAsia="zh-CN"/>
        </w:rPr>
        <w:t>309</w:t>
      </w:r>
      <w:r>
        <w:rPr>
          <w:rFonts w:hint="default" w:ascii="Times New Roman" w:hAnsi="Times New Roman" w:cs="Times New Roman"/>
          <w:color w:val="auto"/>
          <w:sz w:val="32"/>
          <w:szCs w:val="32"/>
          <w:highlight w:val="none"/>
          <w:lang w:val="en-US" w:eastAsia="zh-CN"/>
        </w:rPr>
        <w:t>号</w:t>
      </w:r>
      <w:r>
        <w:rPr>
          <w:rFonts w:hint="eastAsia" w:cs="Times New Roman"/>
          <w:color w:val="auto"/>
          <w:sz w:val="32"/>
          <w:szCs w:val="32"/>
          <w:highlight w:val="none"/>
          <w:lang w:val="en-US" w:eastAsia="zh-CN"/>
        </w:rPr>
        <w:t>提前下达2022年边海防基础设施维护费预算418万元，</w:t>
      </w:r>
      <w:r>
        <w:rPr>
          <w:rFonts w:hint="default" w:ascii="Times New Roman" w:hAnsi="Times New Roman" w:cs="Times New Roman"/>
          <w:color w:val="auto"/>
          <w:sz w:val="32"/>
          <w:szCs w:val="32"/>
          <w:highlight w:val="none"/>
          <w:lang w:val="en-US" w:eastAsia="zh-CN"/>
        </w:rPr>
        <w:t>新财行[202</w:t>
      </w:r>
      <w:r>
        <w:rPr>
          <w:rFonts w:hint="eastAsia" w:cs="Times New Roman"/>
          <w:color w:val="auto"/>
          <w:sz w:val="32"/>
          <w:szCs w:val="32"/>
          <w:highlight w:val="none"/>
          <w:lang w:val="en-US" w:eastAsia="zh-CN"/>
        </w:rPr>
        <w:t>2</w:t>
      </w:r>
      <w:r>
        <w:rPr>
          <w:rFonts w:hint="default" w:ascii="Times New Roman" w:hAnsi="Times New Roman" w:cs="Times New Roman"/>
          <w:color w:val="auto"/>
          <w:sz w:val="32"/>
          <w:szCs w:val="32"/>
          <w:highlight w:val="none"/>
          <w:lang w:val="en-US" w:eastAsia="zh-CN"/>
        </w:rPr>
        <w:t>]</w:t>
      </w:r>
      <w:r>
        <w:rPr>
          <w:rFonts w:hint="eastAsia" w:cs="Times New Roman"/>
          <w:color w:val="auto"/>
          <w:sz w:val="32"/>
          <w:szCs w:val="32"/>
          <w:highlight w:val="none"/>
          <w:lang w:val="en-US" w:eastAsia="zh-CN"/>
        </w:rPr>
        <w:t>61</w:t>
      </w:r>
      <w:r>
        <w:rPr>
          <w:rFonts w:hint="default" w:ascii="Times New Roman" w:hAnsi="Times New Roman" w:cs="Times New Roman"/>
          <w:color w:val="auto"/>
          <w:sz w:val="32"/>
          <w:szCs w:val="32"/>
          <w:highlight w:val="none"/>
          <w:lang w:val="en-US" w:eastAsia="zh-CN"/>
        </w:rPr>
        <w:t>号</w:t>
      </w:r>
      <w:r>
        <w:rPr>
          <w:rFonts w:hint="eastAsia" w:cs="Times New Roman"/>
          <w:color w:val="auto"/>
          <w:sz w:val="32"/>
          <w:szCs w:val="32"/>
          <w:highlight w:val="none"/>
          <w:lang w:val="en-US" w:eastAsia="zh-CN"/>
        </w:rPr>
        <w:t>提前下达2022年护边员补助资金61.903万元</w:t>
      </w:r>
      <w:r>
        <w:rPr>
          <w:rFonts w:hint="default" w:ascii="Times New Roman" w:hAnsi="Times New Roman" w:cs="Times New Roman"/>
          <w:color w:val="auto"/>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color w:val="auto"/>
          <w:sz w:val="32"/>
          <w:highlight w:val="none"/>
          <w:lang w:val="en-US" w:eastAsia="zh-CN"/>
        </w:rPr>
        <w:t>8</w:t>
      </w:r>
      <w:r>
        <w:rPr>
          <w:rFonts w:hint="default" w:ascii="Times New Roman" w:hAnsi="Times New Roman" w:cs="Times New Roman"/>
          <w:color w:val="auto"/>
          <w:sz w:val="32"/>
          <w:highlight w:val="none"/>
        </w:rPr>
        <w:t>、</w:t>
      </w:r>
      <w:r>
        <w:rPr>
          <w:rFonts w:hint="default" w:ascii="Times New Roman" w:hAnsi="Times New Roman" w:cs="Times New Roman"/>
          <w:color w:val="auto"/>
          <w:sz w:val="32"/>
          <w:szCs w:val="32"/>
          <w:highlight w:val="none"/>
        </w:rPr>
        <w:t>列入</w:t>
      </w:r>
      <w:r>
        <w:rPr>
          <w:rFonts w:hint="default" w:ascii="Times New Roman" w:hAnsi="Times New Roman" w:cs="Times New Roman"/>
          <w:bCs/>
          <w:color w:val="auto"/>
          <w:sz w:val="32"/>
          <w:szCs w:val="32"/>
          <w:highlight w:val="none"/>
        </w:rPr>
        <w:t>“县级基本财力保障机制奖补资金收入”</w:t>
      </w:r>
      <w:r>
        <w:rPr>
          <w:rFonts w:hint="eastAsia" w:cs="Times New Roman"/>
          <w:bCs/>
          <w:color w:val="auto"/>
          <w:sz w:val="32"/>
          <w:szCs w:val="32"/>
          <w:highlight w:val="none"/>
          <w:lang w:val="en-US" w:eastAsia="zh-CN"/>
        </w:rPr>
        <w:t>8985</w:t>
      </w:r>
      <w:r>
        <w:rPr>
          <w:rFonts w:hint="default" w:ascii="Times New Roman" w:hAnsi="Times New Roman" w:cs="Times New Roman"/>
          <w:bCs/>
          <w:color w:val="auto"/>
          <w:sz w:val="32"/>
          <w:szCs w:val="32"/>
          <w:highlight w:val="none"/>
          <w:lang w:val="en-US" w:eastAsia="zh-CN"/>
        </w:rPr>
        <w:t>.3</w:t>
      </w:r>
      <w:r>
        <w:rPr>
          <w:rFonts w:hint="default" w:ascii="Times New Roman" w:hAnsi="Times New Roman" w:cs="Times New Roman"/>
          <w:bCs/>
          <w:color w:val="auto"/>
          <w:sz w:val="32"/>
          <w:szCs w:val="32"/>
          <w:highlight w:val="none"/>
        </w:rPr>
        <w:t>万元</w:t>
      </w:r>
      <w:r>
        <w:rPr>
          <w:rFonts w:hint="eastAsia" w:cs="Times New Roman"/>
          <w:bCs/>
          <w:color w:val="auto"/>
          <w:sz w:val="32"/>
          <w:szCs w:val="32"/>
          <w:highlight w:val="none"/>
          <w:lang w:eastAsia="zh-CN"/>
        </w:rPr>
        <w:t>，</w:t>
      </w:r>
      <w:r>
        <w:rPr>
          <w:rFonts w:hint="default" w:ascii="Times New Roman" w:hAnsi="Times New Roman" w:cs="Times New Roman"/>
          <w:bCs/>
          <w:color w:val="auto"/>
          <w:sz w:val="32"/>
          <w:szCs w:val="32"/>
          <w:highlight w:val="none"/>
        </w:rPr>
        <w:t>包括：</w:t>
      </w:r>
      <w:r>
        <w:rPr>
          <w:rFonts w:hint="default" w:ascii="Times New Roman" w:hAnsi="Times New Roman" w:cs="Times New Roman"/>
          <w:bCs/>
          <w:color w:val="auto"/>
          <w:sz w:val="32"/>
          <w:szCs w:val="32"/>
          <w:highlight w:val="none"/>
          <w:lang w:eastAsia="zh-CN"/>
        </w:rPr>
        <w:t>自治区提前下达县级基本财力保障机制奖补资金（基数部分）</w:t>
      </w:r>
      <w:r>
        <w:rPr>
          <w:rFonts w:hint="eastAsia" w:cs="Times New Roman"/>
          <w:bCs/>
          <w:color w:val="auto"/>
          <w:sz w:val="32"/>
          <w:szCs w:val="32"/>
          <w:highlight w:val="none"/>
          <w:lang w:val="en-US" w:eastAsia="zh-CN"/>
        </w:rPr>
        <w:t>706.3</w:t>
      </w:r>
      <w:r>
        <w:rPr>
          <w:rFonts w:hint="default" w:ascii="Times New Roman" w:hAnsi="Times New Roman" w:cs="Times New Roman"/>
          <w:bCs/>
          <w:color w:val="auto"/>
          <w:sz w:val="32"/>
          <w:szCs w:val="32"/>
          <w:highlight w:val="none"/>
          <w:lang w:val="en-US" w:eastAsia="zh-CN"/>
        </w:rPr>
        <w:t>万元，</w:t>
      </w:r>
      <w:r>
        <w:rPr>
          <w:rFonts w:hint="default" w:ascii="Times New Roman" w:hAnsi="Times New Roman" w:cs="Times New Roman"/>
          <w:color w:val="auto"/>
          <w:sz w:val="32"/>
          <w:szCs w:val="32"/>
          <w:highlight w:val="none"/>
        </w:rPr>
        <w:t>新财预</w:t>
      </w:r>
      <w:r>
        <w:rPr>
          <w:rFonts w:hint="eastAsia" w:cs="Times New Roman"/>
          <w:color w:val="auto"/>
          <w:sz w:val="32"/>
          <w:szCs w:val="32"/>
          <w:highlight w:val="none"/>
          <w:lang w:val="en-US" w:eastAsia="zh-CN"/>
        </w:rPr>
        <w:t>[2021]</w:t>
      </w:r>
      <w:r>
        <w:rPr>
          <w:rFonts w:hint="default" w:ascii="Times New Roman" w:hAnsi="Times New Roman" w:cs="Times New Roman"/>
          <w:color w:val="auto"/>
          <w:sz w:val="32"/>
          <w:szCs w:val="32"/>
          <w:highlight w:val="none"/>
          <w:lang w:val="en-US" w:eastAsia="zh-CN"/>
        </w:rPr>
        <w:t>94</w:t>
      </w:r>
      <w:r>
        <w:rPr>
          <w:rFonts w:hint="default" w:ascii="Times New Roman" w:hAnsi="Times New Roman" w:cs="Times New Roman"/>
          <w:color w:val="auto"/>
          <w:sz w:val="32"/>
          <w:szCs w:val="32"/>
          <w:highlight w:val="none"/>
        </w:rPr>
        <w:t>号</w:t>
      </w:r>
      <w:r>
        <w:rPr>
          <w:rFonts w:hint="default" w:ascii="Times New Roman" w:hAnsi="Times New Roman" w:cs="Times New Roman"/>
          <w:color w:val="auto"/>
          <w:sz w:val="32"/>
          <w:highlight w:val="none"/>
          <w:lang w:eastAsia="zh-CN"/>
        </w:rPr>
        <w:t>提前下达2022年县级基本财力保障机制奖补资金</w:t>
      </w:r>
      <w:r>
        <w:rPr>
          <w:rFonts w:hint="eastAsia" w:cs="Times New Roman"/>
          <w:color w:val="auto"/>
          <w:sz w:val="32"/>
          <w:highlight w:val="none"/>
          <w:lang w:val="en-US" w:eastAsia="zh-CN"/>
        </w:rPr>
        <w:t>6437</w:t>
      </w:r>
      <w:r>
        <w:rPr>
          <w:rFonts w:hint="default" w:ascii="Times New Roman" w:hAnsi="Times New Roman" w:cs="Times New Roman"/>
          <w:color w:val="auto"/>
          <w:sz w:val="32"/>
          <w:szCs w:val="32"/>
          <w:highlight w:val="none"/>
        </w:rPr>
        <w:t>万元</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新财预[202</w:t>
      </w:r>
      <w:r>
        <w:rPr>
          <w:rFonts w:hint="default" w:ascii="Times New Roman" w:hAnsi="Times New Roman" w:cs="Times New Roman"/>
          <w:color w:val="auto"/>
          <w:sz w:val="32"/>
          <w:szCs w:val="32"/>
          <w:highlight w:val="none"/>
          <w:lang w:val="en-US" w:eastAsia="zh-CN"/>
        </w:rPr>
        <w:t>2</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val="en-US" w:eastAsia="zh-CN"/>
        </w:rPr>
        <w:t>53</w:t>
      </w:r>
      <w:r>
        <w:rPr>
          <w:rFonts w:hint="default" w:ascii="Times New Roman" w:hAnsi="Times New Roman" w:cs="Times New Roman"/>
          <w:color w:val="auto"/>
          <w:sz w:val="32"/>
          <w:szCs w:val="32"/>
          <w:highlight w:val="none"/>
        </w:rPr>
        <w:t>号</w:t>
      </w:r>
      <w:r>
        <w:rPr>
          <w:rFonts w:hint="default" w:ascii="Times New Roman" w:hAnsi="Times New Roman" w:cs="Times New Roman" w:eastAsiaTheme="minorEastAsia"/>
          <w:color w:val="auto"/>
          <w:sz w:val="32"/>
          <w:highlight w:val="none"/>
        </w:rPr>
        <w:t>下达2022年第一批县级基本财力保障机制奖补资金</w:t>
      </w:r>
      <w:r>
        <w:rPr>
          <w:rFonts w:hint="default" w:ascii="Times New Roman" w:hAnsi="Times New Roman" w:cs="Times New Roman" w:eastAsiaTheme="minorEastAsia"/>
          <w:color w:val="auto"/>
          <w:sz w:val="32"/>
          <w:highlight w:val="none"/>
          <w:lang w:val="en-US" w:eastAsia="zh-CN"/>
        </w:rPr>
        <w:t>849</w:t>
      </w:r>
      <w:r>
        <w:rPr>
          <w:rFonts w:hint="default" w:ascii="Times New Roman" w:hAnsi="Times New Roman" w:cs="Times New Roman"/>
          <w:color w:val="auto"/>
          <w:sz w:val="32"/>
          <w:szCs w:val="32"/>
          <w:highlight w:val="none"/>
        </w:rPr>
        <w:t>万元</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新财预[202</w:t>
      </w:r>
      <w:r>
        <w:rPr>
          <w:rFonts w:hint="default" w:ascii="Times New Roman" w:hAnsi="Times New Roman" w:cs="Times New Roman"/>
          <w:color w:val="auto"/>
          <w:sz w:val="32"/>
          <w:szCs w:val="32"/>
          <w:highlight w:val="none"/>
          <w:lang w:val="en-US" w:eastAsia="zh-CN"/>
        </w:rPr>
        <w:t>2</w:t>
      </w:r>
      <w:r>
        <w:rPr>
          <w:rFonts w:hint="default" w:ascii="Times New Roman" w:hAnsi="Times New Roman" w:cs="Times New Roman"/>
          <w:color w:val="auto"/>
          <w:sz w:val="32"/>
          <w:szCs w:val="32"/>
          <w:highlight w:val="none"/>
        </w:rPr>
        <w:t>]</w:t>
      </w:r>
      <w:r>
        <w:rPr>
          <w:rFonts w:hint="eastAsia" w:cs="Times New Roman"/>
          <w:color w:val="auto"/>
          <w:sz w:val="32"/>
          <w:szCs w:val="32"/>
          <w:highlight w:val="none"/>
          <w:lang w:val="en-US" w:eastAsia="zh-CN"/>
        </w:rPr>
        <w:t>104</w:t>
      </w:r>
      <w:r>
        <w:rPr>
          <w:rFonts w:hint="default" w:ascii="Times New Roman" w:hAnsi="Times New Roman" w:cs="Times New Roman"/>
          <w:color w:val="auto"/>
          <w:sz w:val="32"/>
          <w:szCs w:val="32"/>
          <w:highlight w:val="none"/>
        </w:rPr>
        <w:t>号下达2022年第二批县级基本财力保障机制奖补资金</w:t>
      </w:r>
      <w:r>
        <w:rPr>
          <w:rFonts w:hint="eastAsia" w:cs="Times New Roman"/>
          <w:color w:val="auto"/>
          <w:sz w:val="32"/>
          <w:szCs w:val="32"/>
          <w:highlight w:val="none"/>
          <w:lang w:val="en-US" w:eastAsia="zh-CN"/>
        </w:rPr>
        <w:t>993</w:t>
      </w:r>
      <w:r>
        <w:rPr>
          <w:rFonts w:hint="default" w:ascii="Times New Roman" w:hAnsi="Times New Roman" w:cs="Times New Roman"/>
          <w:color w:val="auto"/>
          <w:sz w:val="32"/>
          <w:szCs w:val="32"/>
          <w:highlight w:val="none"/>
          <w:lang w:val="en-US" w:eastAsia="zh-CN"/>
        </w:rPr>
        <w:t>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eastAsia="宋体"/>
          <w:color w:val="auto"/>
          <w:sz w:val="32"/>
          <w:highlight w:val="none"/>
          <w:lang w:val="en-US" w:eastAsia="zh-CN"/>
        </w:rPr>
      </w:pPr>
      <w:r>
        <w:rPr>
          <w:rFonts w:hint="eastAsia"/>
          <w:color w:val="auto"/>
          <w:sz w:val="32"/>
          <w:highlight w:val="none"/>
          <w:lang w:val="en-US" w:eastAsia="zh-CN"/>
        </w:rPr>
        <w:t>9</w:t>
      </w:r>
      <w:r>
        <w:rPr>
          <w:rFonts w:hint="eastAsia"/>
          <w:color w:val="auto"/>
          <w:sz w:val="32"/>
          <w:highlight w:val="none"/>
        </w:rPr>
        <w:t>、</w:t>
      </w:r>
      <w:r>
        <w:rPr>
          <w:rFonts w:hint="eastAsia"/>
          <w:color w:val="auto"/>
          <w:sz w:val="32"/>
          <w:highlight w:val="none"/>
          <w:lang w:eastAsia="zh-CN"/>
        </w:rPr>
        <w:t>列入“结算补助收入”</w:t>
      </w:r>
      <w:r>
        <w:rPr>
          <w:rFonts w:hint="eastAsia"/>
          <w:color w:val="auto"/>
          <w:sz w:val="32"/>
          <w:highlight w:val="none"/>
          <w:lang w:val="en-US" w:eastAsia="zh-CN"/>
        </w:rPr>
        <w:t>2646.08万元，包括：新财预[2022]16号拨付2022年自治区“访惠聚”驻村工作经费148.54万元，新财预[2022]83号拨付2022年下半年自治区“访惠聚”驻村工作经费58.54万元，新财预[2022]27号下达陆地边境疫情防控和边境建设专项财力补助预算2439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ascii="Times New Roman" w:hAnsi="Times New Roman" w:eastAsia="宋体" w:cs="Times New Roman"/>
          <w:bCs/>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1</w:t>
      </w:r>
      <w:r>
        <w:rPr>
          <w:rFonts w:hint="eastAsia" w:cs="Times New Roman"/>
          <w:color w:val="auto"/>
          <w:sz w:val="32"/>
          <w:szCs w:val="32"/>
          <w:highlight w:val="none"/>
          <w:lang w:val="en-US" w:eastAsia="zh-CN"/>
        </w:rPr>
        <w:t>0</w:t>
      </w:r>
      <w:r>
        <w:rPr>
          <w:rFonts w:hint="default" w:ascii="Times New Roman" w:hAnsi="Times New Roman" w:cs="Times New Roman"/>
          <w:color w:val="auto"/>
          <w:sz w:val="32"/>
          <w:szCs w:val="32"/>
          <w:highlight w:val="none"/>
        </w:rPr>
        <w:t>、</w:t>
      </w:r>
      <w:r>
        <w:rPr>
          <w:rFonts w:hint="default" w:ascii="Times New Roman" w:hAnsi="Times New Roman" w:cs="Times New Roman"/>
          <w:bCs/>
          <w:color w:val="auto"/>
          <w:sz w:val="32"/>
          <w:szCs w:val="32"/>
          <w:highlight w:val="none"/>
        </w:rPr>
        <w:t>列入“</w:t>
      </w:r>
      <w:r>
        <w:rPr>
          <w:rFonts w:hint="default" w:ascii="Times New Roman" w:hAnsi="Times New Roman" w:cs="Times New Roman"/>
          <w:bCs/>
          <w:color w:val="auto"/>
          <w:sz w:val="32"/>
          <w:szCs w:val="32"/>
          <w:highlight w:val="none"/>
          <w:lang w:eastAsia="zh-CN"/>
        </w:rPr>
        <w:t>科学技术共同财政事权转移支付</w:t>
      </w:r>
      <w:r>
        <w:rPr>
          <w:rFonts w:hint="default" w:ascii="Times New Roman" w:hAnsi="Times New Roman" w:cs="Times New Roman"/>
          <w:bCs/>
          <w:color w:val="auto"/>
          <w:sz w:val="32"/>
          <w:szCs w:val="32"/>
          <w:highlight w:val="none"/>
        </w:rPr>
        <w:t>收入”</w:t>
      </w:r>
      <w:r>
        <w:rPr>
          <w:rFonts w:hint="eastAsia" w:cs="Times New Roman"/>
          <w:bCs/>
          <w:color w:val="auto"/>
          <w:sz w:val="32"/>
          <w:szCs w:val="32"/>
          <w:highlight w:val="none"/>
          <w:lang w:val="en-US" w:eastAsia="zh-CN"/>
        </w:rPr>
        <w:t>23.624904</w:t>
      </w:r>
      <w:r>
        <w:rPr>
          <w:rFonts w:hint="default" w:ascii="Times New Roman" w:hAnsi="Times New Roman" w:cs="Times New Roman"/>
          <w:bCs/>
          <w:color w:val="auto"/>
          <w:sz w:val="32"/>
          <w:szCs w:val="32"/>
          <w:highlight w:val="none"/>
        </w:rPr>
        <w:t>万元</w:t>
      </w:r>
      <w:r>
        <w:rPr>
          <w:rFonts w:hint="eastAsia" w:cs="Times New Roman"/>
          <w:bCs/>
          <w:color w:val="auto"/>
          <w:sz w:val="32"/>
          <w:szCs w:val="32"/>
          <w:highlight w:val="none"/>
          <w:lang w:eastAsia="zh-CN"/>
        </w:rPr>
        <w:t>，</w:t>
      </w:r>
      <w:r>
        <w:rPr>
          <w:rFonts w:hint="default" w:ascii="Times New Roman" w:hAnsi="Times New Roman" w:cs="Times New Roman"/>
          <w:bCs/>
          <w:color w:val="auto"/>
          <w:sz w:val="32"/>
          <w:szCs w:val="32"/>
          <w:highlight w:val="none"/>
        </w:rPr>
        <w:t>包括：新财教[2021]</w:t>
      </w:r>
      <w:r>
        <w:rPr>
          <w:rFonts w:hint="eastAsia" w:cs="Times New Roman"/>
          <w:bCs/>
          <w:color w:val="auto"/>
          <w:sz w:val="32"/>
          <w:szCs w:val="32"/>
          <w:highlight w:val="none"/>
          <w:lang w:val="en-US" w:eastAsia="zh-CN"/>
        </w:rPr>
        <w:t>178</w:t>
      </w:r>
      <w:r>
        <w:rPr>
          <w:rFonts w:hint="default" w:ascii="Times New Roman" w:hAnsi="Times New Roman" w:cs="Times New Roman"/>
          <w:bCs/>
          <w:color w:val="auto"/>
          <w:sz w:val="32"/>
          <w:szCs w:val="32"/>
          <w:highlight w:val="none"/>
        </w:rPr>
        <w:t>号提前下达2022年“三区”科技人才支持计划预算</w:t>
      </w:r>
      <w:r>
        <w:rPr>
          <w:rFonts w:hint="eastAsia" w:cs="Times New Roman"/>
          <w:bCs/>
          <w:color w:val="auto"/>
          <w:sz w:val="32"/>
          <w:szCs w:val="32"/>
          <w:highlight w:val="none"/>
          <w:lang w:val="en-US" w:eastAsia="zh-CN"/>
        </w:rPr>
        <w:t>13.624904</w:t>
      </w:r>
      <w:r>
        <w:rPr>
          <w:rFonts w:hint="default" w:ascii="Times New Roman" w:hAnsi="Times New Roman" w:cs="Times New Roman"/>
          <w:bCs/>
          <w:color w:val="auto"/>
          <w:sz w:val="32"/>
          <w:szCs w:val="32"/>
          <w:highlight w:val="none"/>
          <w:lang w:val="en-US" w:eastAsia="zh-CN"/>
        </w:rPr>
        <w:t>万元</w:t>
      </w:r>
      <w:r>
        <w:rPr>
          <w:rFonts w:hint="eastAsia" w:cs="Times New Roman"/>
          <w:bCs/>
          <w:color w:val="auto"/>
          <w:sz w:val="32"/>
          <w:szCs w:val="32"/>
          <w:highlight w:val="none"/>
          <w:lang w:val="en-US" w:eastAsia="zh-CN"/>
        </w:rPr>
        <w:t>，</w:t>
      </w:r>
      <w:r>
        <w:rPr>
          <w:rFonts w:hint="default" w:ascii="Times New Roman" w:hAnsi="Times New Roman" w:cs="Times New Roman"/>
          <w:bCs/>
          <w:color w:val="auto"/>
          <w:sz w:val="32"/>
          <w:szCs w:val="32"/>
          <w:highlight w:val="none"/>
        </w:rPr>
        <w:t>新财教[2021]</w:t>
      </w:r>
      <w:r>
        <w:rPr>
          <w:rFonts w:hint="eastAsia" w:cs="Times New Roman"/>
          <w:bCs/>
          <w:color w:val="auto"/>
          <w:sz w:val="32"/>
          <w:szCs w:val="32"/>
          <w:highlight w:val="none"/>
          <w:lang w:val="en-US" w:eastAsia="zh-CN"/>
        </w:rPr>
        <w:t>208</w:t>
      </w:r>
      <w:r>
        <w:rPr>
          <w:rFonts w:hint="default" w:ascii="Times New Roman" w:hAnsi="Times New Roman" w:cs="Times New Roman"/>
          <w:bCs/>
          <w:color w:val="auto"/>
          <w:sz w:val="32"/>
          <w:szCs w:val="32"/>
          <w:highlight w:val="none"/>
        </w:rPr>
        <w:t>号提前下达2022年自治区“基层科普行动计划”项目资金</w:t>
      </w:r>
      <w:r>
        <w:rPr>
          <w:rFonts w:hint="eastAsia" w:cs="Times New Roman"/>
          <w:bCs/>
          <w:color w:val="auto"/>
          <w:sz w:val="32"/>
          <w:szCs w:val="32"/>
          <w:highlight w:val="none"/>
          <w:lang w:val="en-US" w:eastAsia="zh-CN"/>
        </w:rPr>
        <w:t>10万元</w:t>
      </w:r>
      <w:r>
        <w:rPr>
          <w:rFonts w:hint="default" w:ascii="Times New Roman" w:hAnsi="Times New Roman" w:cs="Times New Roman"/>
          <w:bCs/>
          <w:color w:val="auto"/>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eastAsia="宋体"/>
          <w:b/>
          <w:bCs/>
          <w:color w:val="auto"/>
          <w:sz w:val="32"/>
          <w:szCs w:val="32"/>
          <w:highlight w:val="none"/>
          <w:lang w:val="en-US" w:eastAsia="zh-CN"/>
        </w:rPr>
      </w:pPr>
      <w:r>
        <w:rPr>
          <w:rFonts w:hint="eastAsia"/>
          <w:color w:val="auto"/>
          <w:sz w:val="32"/>
          <w:szCs w:val="32"/>
          <w:highlight w:val="none"/>
          <w:lang w:val="en-US" w:eastAsia="zh-CN"/>
        </w:rPr>
        <w:t>11、</w:t>
      </w:r>
      <w:r>
        <w:rPr>
          <w:rFonts w:hint="eastAsia"/>
          <w:bCs/>
          <w:color w:val="auto"/>
          <w:sz w:val="32"/>
          <w:szCs w:val="32"/>
          <w:highlight w:val="none"/>
        </w:rPr>
        <w:t>列入“文化旅游体育与传媒共同财政事权转移支付收入”</w:t>
      </w:r>
      <w:r>
        <w:rPr>
          <w:rFonts w:hint="eastAsia"/>
          <w:bCs/>
          <w:color w:val="auto"/>
          <w:sz w:val="32"/>
          <w:szCs w:val="32"/>
          <w:highlight w:val="none"/>
          <w:lang w:val="en-US" w:eastAsia="zh-CN"/>
        </w:rPr>
        <w:t>536.55万元，包括：新财教[2021]199号提前下达2022年自治区广播电视节目无线覆盖运行维护经费4万元，新财教[2021]200号提前下达自治区2022年广播电视“村村通”运行维护聘用人员经费11.54万元，新财教[2021]215号提前下达2022年度自治区野外文物保护单位看护人员专项补助经费19.2万元，新财教[2021]217号提前下达2022年年美术馆、公共图书馆、文化馆[站]免费开放补助资金76万元，新财教[2021]218号提前下达2022年美术馆、公共图书馆、文化馆[站]免费开放补助资金13.3万元，新财教[2021]230号提前下达2022年国家博物馆、纪念馆逐步免费开放补助资金20万元，新财教[2021]232号提前下达2022年中央补助地方公共文化服务体系建设补助[一般项目、绩效奖励、重点项目]资金34.73万元，新财教[2021]233号提前下达2022年文化人才专项经费4万元，新财教[2021]238号提前下达2022年自治区文物保护专项经费63万元，新财教[2021]239号提前下达2022年中央补助地方公共文化服务体系建设补助[一般项目、绩效奖励、重点项目]资金230万元，新财教[2021]240号提前下达2022年少数民族地区和边疆地区文化安全补助资金30.28万元，新财教[2022]32号下达2022年公共体育场馆向社会免费或低收费开放补助资金30.24万元，新财教[2022]35号拨付2022年少数民族地区和边疆地区文化安全补助资金0.26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eastAsia"/>
          <w:color w:val="auto"/>
          <w:sz w:val="32"/>
          <w:szCs w:val="32"/>
          <w:highlight w:val="none"/>
          <w:lang w:val="en-US" w:eastAsia="zh-CN"/>
        </w:rPr>
      </w:pPr>
      <w:r>
        <w:rPr>
          <w:rFonts w:hint="eastAsia"/>
          <w:color w:val="auto"/>
          <w:sz w:val="32"/>
          <w:szCs w:val="32"/>
          <w:highlight w:val="none"/>
          <w:lang w:val="en-US" w:eastAsia="zh-CN"/>
        </w:rPr>
        <w:t>12、</w:t>
      </w:r>
      <w:r>
        <w:rPr>
          <w:rFonts w:hint="eastAsia"/>
          <w:bCs/>
          <w:color w:val="auto"/>
          <w:sz w:val="32"/>
          <w:szCs w:val="32"/>
          <w:highlight w:val="none"/>
        </w:rPr>
        <w:t>列入</w:t>
      </w:r>
      <w:r>
        <w:rPr>
          <w:rFonts w:hint="eastAsia"/>
          <w:bCs/>
          <w:color w:val="auto"/>
          <w:sz w:val="32"/>
          <w:szCs w:val="32"/>
          <w:highlight w:val="none"/>
          <w:lang w:eastAsia="zh-CN"/>
        </w:rPr>
        <w:t>“</w:t>
      </w:r>
      <w:r>
        <w:rPr>
          <w:rFonts w:hint="eastAsia"/>
          <w:color w:val="auto"/>
          <w:sz w:val="32"/>
          <w:szCs w:val="32"/>
          <w:highlight w:val="none"/>
        </w:rPr>
        <w:t>社会保障和就业共同财政事权转移支付收入</w:t>
      </w:r>
      <w:r>
        <w:rPr>
          <w:rFonts w:hint="eastAsia"/>
          <w:color w:val="auto"/>
          <w:sz w:val="32"/>
          <w:szCs w:val="32"/>
          <w:highlight w:val="none"/>
          <w:lang w:eastAsia="zh-CN"/>
        </w:rPr>
        <w:t>”</w:t>
      </w:r>
      <w:r>
        <w:rPr>
          <w:rFonts w:hint="eastAsia"/>
          <w:color w:val="auto"/>
          <w:sz w:val="32"/>
          <w:szCs w:val="32"/>
          <w:highlight w:val="none"/>
          <w:lang w:val="en-US" w:eastAsia="zh-CN"/>
        </w:rPr>
        <w:t>3189.91万元，包括：新财企[2021]100号提前下达1995年前退休[退职]人员2022年4月-2023年3月生活补贴资金50万元，新财企[2022]20号拨付2022年4月-2023年3月1995年前退休[退职]人员生活补贴财政补助资金6.52万元，新财社[2021]240号提前下达2022年中央财政城乡居民基本养老保险补助资金101万元，新财社[2021]249号提前下达2022年中央财政就业补助资金441.77万元，新财社[2021]250号提前下达2022年中央财政就业[职业培训]补助资金1200万元，新财社[2021]251号提前下达2022年中央财政退役安置补助经费95万元，新财社[2021]252号提前下达2022年中央财政残疾人事业发展补助资金18.77万元，新财社[2021]258号提前下达2022年中央财政机关事业单位养老保险制度改革补助资金818万元，新财社[2021]272号提前下达2022年自治区就业补助资金2万元，新财社[2021]274号提前下达2022年自治区优抚对象补助经费45万元，新财社[2021]279号提前下达2022年高校毕业生“三支一扶”计划中央财政补助资金77.7万元，新财社[2021]281号提前下达2022年自治区财政城乡居民基本养老保险补助资金34万元，新财社[2021]282号提前下达2022年自治区财政全民参保登记计划实施项目补助资金1.1万元，新财社[2021]283号提前下达2022年自治区财政企业基本养老保险扩面项目补助资金0.6万元，新财社[2021]287号提前下达2022年中央财政优抚对象补助经费63.76万元，新财社[2021]291号提前下达2022年自治区财政残疾人事业发展补助资金9.23万元，新财社[2021]323号提前下达2022年自治区财政残疾人事业发展补助资金2万元，新财社[2021]324号提前下达2022年中央财政困难群众救助补助资金187万元，新财社[2021]329号提前下达2022年护边员养老保险补贴资金110万元，新财社[2021]334号提前下达2022年自治区自主择业军队转业干部管理服务专项补助经费5.07万元，新财社[2022]68号拨付2022年中央财政就业补助资金[第二批]80万元，新财社[2022]70号拨付2022年中央财政残疾人事业发展补助资金[第二批]0.5万元，新财社[2022]71号拨付2022年中央财政困难群众救助补助资金[第二批]-184万元，新财社[2022]104号下达2022年中央财政优抚对象补助经费预算[第一批]15万元，新财社[2022]108号下达2022年中央财政城乡居民基本养老保险补助资金[第二批]3万元，新财社[2022]112号下达2022年中央财政优抚对象补助经费预算[第二批]7.9万元，新财社[2022]129号下达2022年中央财政退役安置补助经费预算[第一批]10万元，新财社[2022]143号下达2022年自治区财政城乡居民基本养老保险补助资金[第二批]4万元，新财社[2022]145号下达2022年护边员养老保险补贴资金[第二批]-32.34万元，新财社[2022]250号下达2022年中央财政优抚对象补助经费预算[第三批]2.3万元，新财社[2022]252号下达2022年中央财政退役安置[第二批]补助经费3.2万元，新财社[2022]253号下达2022年中央财政军队转业干部补助经费预算[第三批]11.83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eastAsia"/>
          <w:color w:val="auto"/>
          <w:sz w:val="32"/>
          <w:szCs w:val="32"/>
          <w:highlight w:val="none"/>
          <w:lang w:val="en-US" w:eastAsia="zh-CN"/>
        </w:rPr>
      </w:pPr>
      <w:r>
        <w:rPr>
          <w:rFonts w:hint="eastAsia"/>
          <w:color w:val="auto"/>
          <w:sz w:val="32"/>
          <w:szCs w:val="32"/>
          <w:highlight w:val="none"/>
          <w:lang w:val="en-US" w:eastAsia="zh-CN"/>
        </w:rPr>
        <w:t>13、列入“贫困地区转移支付收入”6843万元，包括：新财扶[2021]39号提前下达2022年中央财政衔接推进乡村振兴补助资金2112万元，新财扶[2021]44号提前下达2022年自治区财政衔接推进乡村振兴补助资金3000万元，新财振[2022]2号下达2022年中央财政衔接推进乡村振兴补助资金1370万元，新财振[2022]18号下达2022年自治区财政衔接推进乡村振兴补助资金361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ascii="Times New Roman" w:hAnsi="Times New Roman" w:eastAsia="宋体" w:cs="Times New Roman"/>
          <w:bCs/>
          <w:color w:val="auto"/>
          <w:sz w:val="32"/>
          <w:szCs w:val="32"/>
          <w:highlight w:val="none"/>
          <w:lang w:val="en-US" w:eastAsia="zh-CN"/>
        </w:rPr>
      </w:pPr>
      <w:r>
        <w:rPr>
          <w:rFonts w:hint="default" w:ascii="Times New Roman" w:hAnsi="Times New Roman" w:cs="Times New Roman"/>
          <w:color w:val="auto"/>
          <w:sz w:val="32"/>
          <w:szCs w:val="32"/>
          <w:highlight w:val="none"/>
        </w:rPr>
        <w:t>1</w:t>
      </w:r>
      <w:r>
        <w:rPr>
          <w:rFonts w:hint="eastAsia" w:cs="Times New Roman"/>
          <w:color w:val="auto"/>
          <w:sz w:val="32"/>
          <w:szCs w:val="32"/>
          <w:highlight w:val="none"/>
          <w:lang w:val="en-US" w:eastAsia="zh-CN"/>
        </w:rPr>
        <w:t>4</w:t>
      </w:r>
      <w:r>
        <w:rPr>
          <w:rFonts w:hint="default" w:ascii="Times New Roman" w:hAnsi="Times New Roman" w:cs="Times New Roman"/>
          <w:color w:val="auto"/>
          <w:sz w:val="32"/>
          <w:szCs w:val="32"/>
          <w:highlight w:val="none"/>
        </w:rPr>
        <w:t>、</w:t>
      </w:r>
      <w:r>
        <w:rPr>
          <w:rFonts w:hint="default" w:ascii="Times New Roman" w:hAnsi="Times New Roman" w:cs="Times New Roman"/>
          <w:bCs/>
          <w:color w:val="auto"/>
          <w:sz w:val="32"/>
          <w:szCs w:val="32"/>
          <w:highlight w:val="none"/>
        </w:rPr>
        <w:t>列入“固定数额补助收入”</w:t>
      </w:r>
      <w:r>
        <w:rPr>
          <w:rFonts w:hint="eastAsia" w:cs="Times New Roman"/>
          <w:bCs/>
          <w:color w:val="auto"/>
          <w:sz w:val="32"/>
          <w:szCs w:val="32"/>
          <w:highlight w:val="none"/>
          <w:lang w:val="en-US" w:eastAsia="zh-CN"/>
        </w:rPr>
        <w:t>16308.4</w:t>
      </w:r>
      <w:r>
        <w:rPr>
          <w:rFonts w:hint="default" w:ascii="Times New Roman" w:hAnsi="Times New Roman" w:cs="Times New Roman"/>
          <w:bCs/>
          <w:color w:val="auto"/>
          <w:sz w:val="32"/>
          <w:szCs w:val="32"/>
          <w:highlight w:val="none"/>
        </w:rPr>
        <w:t>万元</w:t>
      </w:r>
      <w:r>
        <w:rPr>
          <w:rFonts w:hint="eastAsia" w:cs="Times New Roman"/>
          <w:bCs/>
          <w:color w:val="auto"/>
          <w:sz w:val="32"/>
          <w:szCs w:val="32"/>
          <w:highlight w:val="none"/>
          <w:lang w:eastAsia="zh-CN"/>
        </w:rPr>
        <w:t>，</w:t>
      </w:r>
      <w:r>
        <w:rPr>
          <w:rFonts w:hint="default" w:ascii="Times New Roman" w:hAnsi="Times New Roman" w:cs="Times New Roman"/>
          <w:bCs/>
          <w:color w:val="auto"/>
          <w:sz w:val="32"/>
          <w:szCs w:val="32"/>
          <w:highlight w:val="none"/>
        </w:rPr>
        <w:t>包括：</w:t>
      </w:r>
      <w:r>
        <w:rPr>
          <w:rFonts w:hint="eastAsia" w:cs="Times New Roman"/>
          <w:bCs/>
          <w:color w:val="auto"/>
          <w:sz w:val="32"/>
          <w:szCs w:val="32"/>
          <w:highlight w:val="none"/>
          <w:lang w:eastAsia="zh-CN"/>
        </w:rPr>
        <w:t>自治区提前下达固定数额补助收入（基数部分）</w:t>
      </w:r>
      <w:r>
        <w:rPr>
          <w:rFonts w:hint="eastAsia" w:cs="Times New Roman"/>
          <w:bCs/>
          <w:color w:val="auto"/>
          <w:sz w:val="32"/>
          <w:szCs w:val="32"/>
          <w:highlight w:val="none"/>
          <w:lang w:val="en-US" w:eastAsia="zh-CN"/>
        </w:rPr>
        <w:t>14574.4万元，</w:t>
      </w:r>
      <w:r>
        <w:rPr>
          <w:rFonts w:hint="eastAsia"/>
          <w:color w:val="auto"/>
          <w:sz w:val="32"/>
          <w:highlight w:val="none"/>
          <w:lang w:val="en-US" w:eastAsia="zh-CN"/>
        </w:rPr>
        <w:t>新财预[2022]7号下达自治区调整机关事业单位工资补助资金（对2021年10月-2022年12月调资补助）1238万元，新财预[2022]9号下达自治区规范提高公务员绩效奖金补助资金的通知（2021年和2022年补助资金）910万元，新财预[2022]103号调整自治区机关事业单位工资补助资金-414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color w:val="auto"/>
          <w:sz w:val="32"/>
          <w:szCs w:val="32"/>
          <w:highlight w:val="none"/>
          <w:lang w:val="en-US" w:eastAsia="zh-CN"/>
        </w:rPr>
      </w:pPr>
      <w:r>
        <w:rPr>
          <w:rFonts w:hint="eastAsia"/>
          <w:color w:val="auto"/>
          <w:sz w:val="32"/>
          <w:szCs w:val="32"/>
          <w:highlight w:val="none"/>
          <w:lang w:val="en-US" w:eastAsia="zh-CN"/>
        </w:rPr>
        <w:t>15、列入“一般公共服务共同财政事权转移支付收入”131.557万元，包括：新财教[2021]209号提前下2022年自治区“扫黄打非”经费1万元，新财行[2021]308号2022年度下派选调生到村工作中央财政补助资金4.3万元，新财行[2021]339号下达2022年自治区基层政协补助经费5万元，新财行[2021]340号提前下达2022年自治区援疆干部医疗费6.9万元，新财行[2021]341号2022年军警兵民联管联防经费10万元，新财行[2021]344号提前下达2022年自治区宗教活动场所修缮经费30万元，新财行[2021]346号提前下达2022年自治区宗教教职人员生活补贴资金10.498万元，新财行[2021]347号提前下达2022年自治区驻村管寺管委会工作及人员经费21.04万元，新财行[2021]351号提前下达自治区2022年度统计专项业务经费2.88万元，新财行[2022]20号下达2022年度自治区基层人大补助经费12万元，新财行[2022]27号下达2022年度妇女儿童工作和“乡村振兴巾帼行动”示范项目自治区补助经费1万元，新财行[2022]193号拨付自治区安可替代2022年度建设资金18.3万元，新财行[2022]297号拨付2022年度自治区药品抽检经费8万元，新财行[2022]308号下达人口抽样调查经费0.9万元，新财行[2022]321号下达2022年选调生到村工作中央财政结算补助资金-0.261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color w:val="auto"/>
          <w:sz w:val="32"/>
          <w:szCs w:val="32"/>
          <w:highlight w:val="none"/>
          <w:lang w:val="en-US" w:eastAsia="zh-CN"/>
        </w:rPr>
      </w:pPr>
      <w:r>
        <w:rPr>
          <w:rFonts w:hint="eastAsia"/>
          <w:color w:val="auto"/>
          <w:sz w:val="32"/>
          <w:szCs w:val="32"/>
          <w:highlight w:val="none"/>
          <w:lang w:val="en-US" w:eastAsia="zh-CN"/>
        </w:rPr>
        <w:t>16、列入“公共安全共同财政事权转移支付”792.81万元，包括：提前下达公共安全共同财政事权转移支付（基数部分）9万元，新财行[2021]303号提前下达2022年中央政法纪检监察转移支付资金331.36万元，新财行[2021]338号提前下达2022年自治区公安业务费27万元，新财行[2022]72号下达2022年中央和自治区政法纪检监察转移支付资金387.67万元，新财行[2022]102号拨付公安系统援疆民警艰苦边远地区津贴及南疆工作补贴31.23万元，新财行[2022]319号下达2022年中央政法纪检监察转移支付资金6.55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color w:val="auto"/>
          <w:sz w:val="32"/>
          <w:szCs w:val="32"/>
          <w:highlight w:val="none"/>
          <w:lang w:val="en-US" w:eastAsia="zh-CN"/>
        </w:rPr>
      </w:pPr>
      <w:r>
        <w:rPr>
          <w:rFonts w:hint="eastAsia"/>
          <w:color w:val="auto"/>
          <w:sz w:val="32"/>
          <w:szCs w:val="32"/>
          <w:highlight w:val="none"/>
          <w:lang w:val="en-US" w:eastAsia="zh-CN"/>
        </w:rPr>
        <w:t>17、列入“教育共同财政事权转移支付”2365.72万元，包括：提前下达教育共同财政事权转移支付（基数部分）78万元，新财教[2021]211号提前下达2022年学生资助补助直达资金26.61万元，新财教[2021]212号提前下达2022年城乡义务教育项目直达资金915.83万元，新财教[2021]223号提前下达2022年“三区”人才计划教师专项工作补助经费2万元，新财教[2021]227号提前下达2022年新疆西藏等地区教育特殊补助资金659.81万元，新财教[2021]228号提前下达2022年教育直达资金26.48万元，新财教[2021]229号提前下达2022年自治区学前三年教育发展保障经费30.91万元，新财教[2021]229号提前下达2022年自治区义务教育阶段班主任津贴补助经费7万元，新财教[2021]229号提前下达2022年巩固教育脱贫攻坚成果同乡村振兴有效衔接资金329万元，新财教[2022]36号下达2022年学生资助补助直达资金[第二批]2万元，新财教[2022]42号下达2022年义务教育薄弱环节改善与能力提升补助资金[第二批]245万元，新财教[2022]43号下达2022年城乡义务教育项目直达资金[第二批]3.28万元，新财教[2022]46号下达2022年“三区”人才计划教师专项工作补助经费预算[第二批]6万元，新财教[2022]119号拨付2022年中小学和幼儿园自聘教师补助资金33万元，新财教[2022]139号调整2022年自治区农村学前三年免费教育保障经费0.8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color w:val="auto"/>
          <w:sz w:val="32"/>
          <w:szCs w:val="32"/>
          <w:highlight w:val="none"/>
          <w:lang w:val="en-US" w:eastAsia="zh-CN"/>
        </w:rPr>
      </w:pPr>
      <w:r>
        <w:rPr>
          <w:rFonts w:hint="eastAsia"/>
          <w:color w:val="auto"/>
          <w:sz w:val="32"/>
          <w:szCs w:val="32"/>
          <w:highlight w:val="none"/>
          <w:lang w:val="en-US" w:eastAsia="zh-CN"/>
        </w:rPr>
        <w:t>18、列入“节能环保共同财政事权转移支付”40万元，包括：新财资环[2021]122号提前下达2022年中央林业草原生态保护恢复资金40万元。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color w:val="auto"/>
          <w:sz w:val="32"/>
          <w:szCs w:val="32"/>
          <w:highlight w:val="none"/>
          <w:lang w:val="en-US" w:eastAsia="zh-CN"/>
        </w:rPr>
      </w:pPr>
      <w:r>
        <w:rPr>
          <w:rFonts w:hint="eastAsia"/>
          <w:color w:val="auto"/>
          <w:sz w:val="32"/>
          <w:szCs w:val="32"/>
          <w:highlight w:val="none"/>
          <w:shd w:val="clear"/>
          <w:lang w:val="en-US" w:eastAsia="zh-CN"/>
        </w:rPr>
        <w:t>19、列入“医疗卫生共同财政事权转移支付”1513.81万元，包括：新财社[2021]247号提前下达2022年中央财政优抚对象医疗保障经费1.5万元，新财社[2021]266号调整下达2022年自治区财政全民参保补助资金1.5万元，新财社[2021]298号提前下达2022年中央基本药物制度补助资金20.49万元，新财社[2021]299号提前下达2022年中央基本公共卫生服务补助资金162.6万元，新财社[2021]301号提前下达2022年中央计划生育转移支付资金8.01万元，新财社[2021]305号提前下达2022年中央计划生育奖励扶助制度自治区补助资金1.26万元，新财社[2021]306号提前下达2022年自治区计划生育奖励扶助制度补助资金161.32万元，新财社[2021]307号提前下达2022年自治区计划生育服务补助资金8.85万元，新财社[2021]308号提前下达2022年自治区基本公共卫生服务补助资金20.4万元，新财社[2021]312号提前下达2022年自治区公共卫生服务[地方公共卫生]补助资金43万元，新财社[2021]314号提前下达2022年中央医疗服务与保障能力提升[公立医院综合改革]补助资金150万元，新财社[2022]53号拨付2022年自治区计划生育奖励扶助制度补助资金[第二批]18.97万元，新财社[2022]56号拨付2022年中央医疗服务与保障能力提升[医疗卫生机构能力建设]补助资金[第二批]400万元，新财社[2022]58号拨付2022年中央基本公共卫生服务补助资金[第二批]82.9万元，新财社[2022]59号提前下达2022年中央基本药物制度补助资金7.07万元，新财社[2022]61号拨付2022年中央医疗服务与保障能力提升[中医药传承与发展部分]补助资金10万元，新财社[2022]80号拨付2022年中央计划生育转移支付补助资金[第二批]2.22万元，新财社[2022]91号拨付2022年自治区基本公共卫生服务补助资金[第二批]13.6万元，新财社[2022]102号下达2022年中央财政优抚对象医疗保障经费0.12万元，新财社[2022]164号拨付2022年中央财政疫情防控补助资金[第二批]400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color w:val="auto"/>
          <w:sz w:val="32"/>
          <w:szCs w:val="32"/>
          <w:highlight w:val="none"/>
          <w:lang w:val="en-US" w:eastAsia="zh-CN"/>
        </w:rPr>
      </w:pPr>
      <w:r>
        <w:rPr>
          <w:rFonts w:hint="eastAsia"/>
          <w:color w:val="auto"/>
          <w:sz w:val="32"/>
          <w:szCs w:val="32"/>
          <w:highlight w:val="none"/>
          <w:lang w:val="en-US" w:eastAsia="zh-CN"/>
        </w:rPr>
        <w:t>20、列入“农林水共同财政事权转移支付”5726.305万元，包括：新财资环[2021]140号提前下达2022年中央林业改革发展资金726.51万元，新财资环[2022]42号调整2022年提前下达、拨付2022年第二批林业改革发展资金[森林资源管护支出]192.34万元，新财资环[2022]43号拨付2022年第二批中央林业改革发展资金[国土绿化、湿地等生态保护支出]59.5万元，新财金[2021]61号调整中央财政提前下达2022年农业保险保险费补贴资金291万元，新财金[2022]51号结算2021年度中央财政农业保险保费补贴资金和下达2022年中央财政第二笔农业保险保费补贴资金604万元，新财农[2021]94号提前下达2022年中央动物防疫等补助经费32.3万元，新财农[2021]96号提前下达2022年中央农业生产发展资金[农机购置补贴]100万元，新财农[2021]98号提前下达2022年中央农业资源及生态保护补助资金2912.52万元，新财农[2021]102号提前下达2022年中央大中型水库移民后期扶持资金68万元，新财农[2021]114号提前下达2022年自治区畜牧类相关转移支付资金1万元，新财农[2021]121号提前下达2022年自治区水利发展资金预算[项目部分]33万元，新财农[2021]126号调整2022年自治区农业生产发展资金[不包括耕地地力保护补贴]151万元，新财农[2022]3号下达2021年中央农业生产和水利救灾资金预算[第十批]43万元，新财农[2022]25号下达自治区动物防疫等补助经费[2021年9月-2022年2月强制扑杀]3.975万元，新财农[2022]27号下达2022年中央农业生产发展资金13万元，新财农[2022]32号下达2022年中央动物防疫等补助经费37.5万元，新财农[2022]34号下达2022年中央农业生产和水利救灾资金预算[第二批]7万元，新财农[2022]35号下达2022年中央农业资源及生态保护补助资金56.31万元，新财农[2022]36号下达2022年中央农业生产发展资金164.35万元，新财农[2022]39号下达2022年自治区特大防汛补助费10万元，新财农[2022]47号下达2022年自治区花生、大豆作物种植补贴资金10万元，新财农[2022]66号下达2022年中央农业生产和水利救灾资金预算[第八批]210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color w:val="auto"/>
          <w:sz w:val="32"/>
          <w:szCs w:val="32"/>
          <w:highlight w:val="none"/>
          <w:lang w:val="en-US" w:eastAsia="zh-CN"/>
        </w:rPr>
      </w:pPr>
      <w:r>
        <w:rPr>
          <w:rFonts w:hint="eastAsia"/>
          <w:color w:val="auto"/>
          <w:sz w:val="32"/>
          <w:szCs w:val="32"/>
          <w:highlight w:val="none"/>
          <w:lang w:val="en-US" w:eastAsia="zh-CN"/>
        </w:rPr>
        <w:t>21、列入“交通运输共同财政事权转移支付”2069.58万元，包括：新财建[2021]204号提前下达2022年成品油税费改革转移支付资金预算用于农村公路养护104万元，新财建[2022]3号下达2021年政府还贷二级公路取消收费后补助资金用于国省干线和农村公路养护326万元，新财建[2022]80号拨付2022年车辆购置税收入补助地方资金预算[第一批]1164.84万元，新财建[2022]83号下达2022年政府还贷二级公路取消收费后补助资金用于国省干线和农村公路养护项目474.74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color w:val="auto"/>
          <w:sz w:val="32"/>
          <w:szCs w:val="32"/>
          <w:highlight w:val="none"/>
          <w:lang w:val="en-US" w:eastAsia="zh-CN"/>
        </w:rPr>
      </w:pPr>
      <w:r>
        <w:rPr>
          <w:rFonts w:hint="eastAsia"/>
          <w:color w:val="auto"/>
          <w:sz w:val="32"/>
          <w:szCs w:val="32"/>
          <w:highlight w:val="none"/>
          <w:lang w:val="en-US" w:eastAsia="zh-CN"/>
        </w:rPr>
        <w:t>22、</w:t>
      </w:r>
      <w:r>
        <w:rPr>
          <w:rFonts w:hint="eastAsia"/>
          <w:color w:val="auto"/>
          <w:sz w:val="32"/>
          <w:szCs w:val="32"/>
          <w:highlight w:val="none"/>
          <w:lang w:eastAsia="zh-CN"/>
        </w:rPr>
        <w:t>列入“住房保障共同财政事权转移支付”</w:t>
      </w:r>
      <w:r>
        <w:rPr>
          <w:rFonts w:hint="eastAsia"/>
          <w:color w:val="auto"/>
          <w:sz w:val="32"/>
          <w:szCs w:val="32"/>
          <w:highlight w:val="none"/>
          <w:lang w:val="en-US" w:eastAsia="zh-CN"/>
        </w:rPr>
        <w:t>1237万元，包括：新财综[2021]52号提前下达2022年部分中央财政城镇保障性安居工程补助资金24万元，新财综[2022]29号下达2022年中央财政城镇保障性安居工程补助资金1153万元，新财综[2022]43号下达2022年自治区财政城镇保障性安居工程补助资金60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eastAsia"/>
          <w:color w:val="auto"/>
          <w:sz w:val="32"/>
          <w:szCs w:val="32"/>
          <w:highlight w:val="none"/>
          <w:lang w:val="en-US" w:eastAsia="zh-CN"/>
        </w:rPr>
      </w:pPr>
      <w:r>
        <w:rPr>
          <w:rFonts w:hint="eastAsia"/>
          <w:color w:val="auto"/>
          <w:sz w:val="32"/>
          <w:szCs w:val="32"/>
          <w:highlight w:val="none"/>
          <w:lang w:val="en-US" w:eastAsia="zh-CN"/>
        </w:rPr>
        <w:t>23、列入“灾害防治及应急管理共同财政事权转移支付”100.84万元，包括：新财教[2021]214号提前下达2022年自治区防震减灾“三网一员”工作经费补贴资金0.84万元，新财资环[2022]107号下达2022年度中央自然灾害救灾资金[第三批干旱灾害救灾补助]100万元。24、列入“其他一般性转移支付收入”29400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default" w:eastAsia="宋体"/>
          <w:color w:val="auto"/>
          <w:sz w:val="32"/>
          <w:szCs w:val="32"/>
          <w:highlight w:val="none"/>
          <w:lang w:val="en-US" w:eastAsia="zh-CN"/>
        </w:rPr>
      </w:pPr>
      <w:r>
        <w:rPr>
          <w:rFonts w:hint="eastAsia"/>
          <w:color w:val="auto"/>
          <w:sz w:val="32"/>
          <w:szCs w:val="32"/>
          <w:highlight w:val="none"/>
          <w:lang w:val="en-US" w:eastAsia="zh-CN"/>
        </w:rPr>
        <w:t>24</w:t>
      </w:r>
      <w:r>
        <w:rPr>
          <w:rFonts w:hint="eastAsia"/>
          <w:color w:val="auto"/>
          <w:sz w:val="32"/>
          <w:szCs w:val="32"/>
          <w:highlight w:val="none"/>
        </w:rPr>
        <w:t>、</w:t>
      </w:r>
      <w:r>
        <w:rPr>
          <w:rFonts w:hint="eastAsia"/>
          <w:bCs/>
          <w:color w:val="auto"/>
          <w:sz w:val="32"/>
          <w:szCs w:val="32"/>
          <w:highlight w:val="none"/>
        </w:rPr>
        <w:t>列入“专项转移支付收入”</w:t>
      </w:r>
      <w:r>
        <w:rPr>
          <w:rFonts w:hint="eastAsia"/>
          <w:bCs/>
          <w:color w:val="auto"/>
          <w:sz w:val="32"/>
          <w:szCs w:val="32"/>
          <w:highlight w:val="none"/>
          <w:lang w:val="en-US" w:eastAsia="zh-CN"/>
        </w:rPr>
        <w:t>2193</w:t>
      </w:r>
      <w:r>
        <w:rPr>
          <w:rFonts w:hint="eastAsia"/>
          <w:bCs/>
          <w:color w:val="auto"/>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eastAsia"/>
          <w:color w:val="auto"/>
          <w:sz w:val="32"/>
          <w:szCs w:val="32"/>
          <w:highlight w:val="none"/>
          <w:lang w:val="en-US" w:eastAsia="zh-CN"/>
        </w:rPr>
      </w:pPr>
      <w:r>
        <w:rPr>
          <w:rFonts w:hint="eastAsia"/>
          <w:color w:val="auto"/>
          <w:sz w:val="32"/>
          <w:szCs w:val="32"/>
          <w:highlight w:val="none"/>
          <w:lang w:val="en-US" w:eastAsia="zh-CN"/>
        </w:rPr>
        <w:t>25、</w:t>
      </w:r>
      <w:r>
        <w:rPr>
          <w:rFonts w:hint="eastAsia"/>
          <w:color w:val="auto"/>
          <w:sz w:val="32"/>
          <w:szCs w:val="32"/>
          <w:highlight w:val="none"/>
        </w:rPr>
        <w:t>列入“</w:t>
      </w:r>
      <w:r>
        <w:rPr>
          <w:rFonts w:hint="eastAsia"/>
          <w:bCs/>
          <w:color w:val="auto"/>
          <w:sz w:val="32"/>
          <w:szCs w:val="32"/>
          <w:highlight w:val="none"/>
        </w:rPr>
        <w:t>地方政府</w:t>
      </w:r>
      <w:r>
        <w:rPr>
          <w:rFonts w:hint="eastAsia"/>
          <w:bCs/>
          <w:color w:val="auto"/>
          <w:sz w:val="32"/>
          <w:szCs w:val="32"/>
          <w:highlight w:val="none"/>
          <w:lang w:eastAsia="zh-CN"/>
        </w:rPr>
        <w:t>一般债务</w:t>
      </w:r>
      <w:r>
        <w:rPr>
          <w:rFonts w:hint="eastAsia"/>
          <w:bCs/>
          <w:color w:val="auto"/>
          <w:sz w:val="32"/>
          <w:szCs w:val="32"/>
          <w:highlight w:val="none"/>
        </w:rPr>
        <w:t>转贷</w:t>
      </w:r>
      <w:r>
        <w:rPr>
          <w:rFonts w:hint="eastAsia"/>
          <w:bCs/>
          <w:color w:val="auto"/>
          <w:sz w:val="32"/>
          <w:szCs w:val="32"/>
          <w:highlight w:val="none"/>
          <w:lang w:eastAsia="zh-CN"/>
        </w:rPr>
        <w:t>收入</w:t>
      </w:r>
      <w:r>
        <w:rPr>
          <w:rFonts w:hint="eastAsia"/>
          <w:bCs/>
          <w:color w:val="auto"/>
          <w:sz w:val="32"/>
          <w:szCs w:val="32"/>
          <w:highlight w:val="none"/>
        </w:rPr>
        <w:t>”</w:t>
      </w:r>
      <w:r>
        <w:rPr>
          <w:rFonts w:hint="eastAsia"/>
          <w:bCs/>
          <w:color w:val="auto"/>
          <w:sz w:val="32"/>
          <w:szCs w:val="32"/>
          <w:highlight w:val="none"/>
          <w:lang w:val="en-US" w:eastAsia="zh-CN"/>
        </w:rPr>
        <w:t>19800</w:t>
      </w:r>
      <w:r>
        <w:rPr>
          <w:rFonts w:hint="eastAsia"/>
          <w:bCs/>
          <w:color w:val="auto"/>
          <w:sz w:val="32"/>
          <w:szCs w:val="32"/>
          <w:highlight w:val="none"/>
        </w:rPr>
        <w:t>万元</w:t>
      </w:r>
      <w:r>
        <w:rPr>
          <w:rFonts w:hint="eastAsia"/>
          <w:bCs/>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ind w:firstLine="1120" w:firstLineChars="350"/>
        <w:textAlignment w:val="auto"/>
        <w:rPr>
          <w:rFonts w:hint="eastAsia"/>
          <w:bCs/>
          <w:color w:val="auto"/>
          <w:sz w:val="32"/>
          <w:szCs w:val="32"/>
          <w:highlight w:val="none"/>
          <w:lang w:val="en-US" w:eastAsia="zh-CN"/>
        </w:rPr>
      </w:pPr>
      <w:r>
        <w:rPr>
          <w:rFonts w:hint="eastAsia"/>
          <w:color w:val="auto"/>
          <w:sz w:val="32"/>
          <w:szCs w:val="32"/>
          <w:highlight w:val="none"/>
          <w:lang w:val="en-US" w:eastAsia="zh-CN"/>
        </w:rPr>
        <w:t>26、</w:t>
      </w:r>
      <w:r>
        <w:rPr>
          <w:rFonts w:hint="eastAsia"/>
          <w:color w:val="auto"/>
          <w:sz w:val="32"/>
          <w:szCs w:val="32"/>
          <w:highlight w:val="none"/>
        </w:rPr>
        <w:t>列入“</w:t>
      </w:r>
      <w:r>
        <w:rPr>
          <w:rFonts w:hint="eastAsia"/>
          <w:bCs/>
          <w:color w:val="auto"/>
          <w:sz w:val="32"/>
          <w:szCs w:val="32"/>
          <w:highlight w:val="none"/>
        </w:rPr>
        <w:t>地方政府</w:t>
      </w:r>
      <w:r>
        <w:rPr>
          <w:rFonts w:hint="eastAsia"/>
          <w:bCs/>
          <w:color w:val="auto"/>
          <w:sz w:val="32"/>
          <w:szCs w:val="32"/>
          <w:highlight w:val="none"/>
          <w:lang w:eastAsia="zh-CN"/>
        </w:rPr>
        <w:t>专项债务</w:t>
      </w:r>
      <w:r>
        <w:rPr>
          <w:rFonts w:hint="eastAsia"/>
          <w:bCs/>
          <w:color w:val="auto"/>
          <w:sz w:val="32"/>
          <w:szCs w:val="32"/>
          <w:highlight w:val="none"/>
        </w:rPr>
        <w:t>转贷</w:t>
      </w:r>
      <w:r>
        <w:rPr>
          <w:rFonts w:hint="eastAsia"/>
          <w:bCs/>
          <w:color w:val="auto"/>
          <w:sz w:val="32"/>
          <w:szCs w:val="32"/>
          <w:highlight w:val="none"/>
          <w:lang w:eastAsia="zh-CN"/>
        </w:rPr>
        <w:t>收入</w:t>
      </w:r>
      <w:r>
        <w:rPr>
          <w:rFonts w:hint="eastAsia"/>
          <w:bCs/>
          <w:color w:val="auto"/>
          <w:sz w:val="32"/>
          <w:szCs w:val="32"/>
          <w:highlight w:val="none"/>
        </w:rPr>
        <w:t>”</w:t>
      </w:r>
      <w:r>
        <w:rPr>
          <w:rFonts w:hint="eastAsia"/>
          <w:bCs/>
          <w:color w:val="auto"/>
          <w:sz w:val="32"/>
          <w:szCs w:val="32"/>
          <w:highlight w:val="none"/>
          <w:lang w:val="en-US" w:eastAsia="zh-CN"/>
        </w:rPr>
        <w:t>35000万元。</w:t>
      </w:r>
    </w:p>
    <w:p>
      <w:pPr>
        <w:shd w:val="clear"/>
        <w:rPr>
          <w:rFonts w:hint="eastAsia" w:ascii="宋体" w:hAnsi="宋体"/>
          <w:color w:val="auto"/>
          <w:sz w:val="32"/>
        </w:rPr>
      </w:pPr>
      <w:bookmarkStart w:id="0" w:name="_GoBack"/>
      <w:bookmarkEnd w:id="0"/>
      <w:r>
        <w:rPr>
          <w:rFonts w:ascii="宋体" w:hAnsi="宋体"/>
          <w:color w:val="auto"/>
          <w:sz w:val="32"/>
        </w:rPr>
        <w:t xml:space="preserve">                                       </w:t>
      </w:r>
      <w:r>
        <w:rPr>
          <w:rFonts w:hint="eastAsia" w:ascii="宋体" w:hAnsi="宋体"/>
          <w:color w:val="auto"/>
          <w:sz w:val="32"/>
        </w:rPr>
        <w:t xml:space="preserve">              </w:t>
      </w:r>
    </w:p>
    <w:p>
      <w:pPr>
        <w:shd w:val="clear"/>
        <w:rPr>
          <w:rFonts w:hint="eastAsia" w:ascii="宋体" w:hAnsi="宋体"/>
          <w:color w:val="auto"/>
          <w:sz w:val="32"/>
        </w:rPr>
      </w:pPr>
    </w:p>
    <w:p>
      <w:pPr>
        <w:shd w:val="clear"/>
        <w:ind w:firstLine="10880" w:firstLineChars="3400"/>
        <w:rPr>
          <w:rFonts w:hint="eastAsia" w:ascii="宋体" w:hAnsi="宋体"/>
          <w:color w:val="auto"/>
          <w:sz w:val="32"/>
        </w:rPr>
      </w:pPr>
      <w:r>
        <w:rPr>
          <w:rFonts w:hint="eastAsia" w:ascii="宋体" w:hAnsi="宋体"/>
          <w:color w:val="auto"/>
          <w:sz w:val="32"/>
        </w:rPr>
        <w:t>伊吾县财政局</w:t>
      </w:r>
    </w:p>
    <w:p>
      <w:pPr>
        <w:shd w:val="clear"/>
        <w:ind w:firstLine="8000" w:firstLineChars="2500"/>
        <w:rPr>
          <w:color w:val="auto"/>
        </w:rPr>
      </w:pPr>
      <w:r>
        <w:rPr>
          <w:rFonts w:hint="eastAsia" w:ascii="宋体" w:hAnsi="宋体"/>
          <w:color w:val="auto"/>
          <w:sz w:val="32"/>
        </w:rPr>
        <w:t xml:space="preserve">           </w:t>
      </w:r>
      <w:r>
        <w:rPr>
          <w:rFonts w:hint="eastAsia" w:ascii="宋体" w:hAnsi="宋体"/>
          <w:color w:val="auto"/>
          <w:sz w:val="32"/>
          <w:lang w:val="en-US" w:eastAsia="zh-CN"/>
        </w:rPr>
        <w:t xml:space="preserve">    </w:t>
      </w:r>
      <w:r>
        <w:rPr>
          <w:rFonts w:hint="eastAsia" w:ascii="宋体" w:hAnsi="宋体"/>
          <w:color w:val="auto"/>
          <w:sz w:val="32"/>
        </w:rPr>
        <w:t>二O</w:t>
      </w:r>
      <w:r>
        <w:rPr>
          <w:rFonts w:hint="eastAsia" w:ascii="宋体" w:hAnsi="宋体"/>
          <w:color w:val="auto"/>
          <w:sz w:val="32"/>
          <w:lang w:eastAsia="zh-CN"/>
        </w:rPr>
        <w:t>二三</w:t>
      </w:r>
      <w:r>
        <w:rPr>
          <w:rFonts w:hint="eastAsia" w:ascii="宋体" w:hAnsi="宋体"/>
          <w:color w:val="auto"/>
          <w:sz w:val="32"/>
        </w:rPr>
        <w:t>年</w:t>
      </w:r>
      <w:r>
        <w:rPr>
          <w:rFonts w:hint="eastAsia" w:ascii="宋体" w:hAnsi="宋体"/>
          <w:color w:val="auto"/>
          <w:sz w:val="32"/>
          <w:lang w:eastAsia="zh-CN"/>
        </w:rPr>
        <w:t>八</w:t>
      </w:r>
      <w:r>
        <w:rPr>
          <w:rFonts w:hint="eastAsia" w:ascii="宋体" w:hAnsi="宋体"/>
          <w:color w:val="auto"/>
          <w:sz w:val="32"/>
        </w:rPr>
        <w:t>月</w:t>
      </w:r>
      <w:r>
        <w:rPr>
          <w:rFonts w:hint="eastAsia" w:ascii="宋体" w:hAnsi="宋体"/>
          <w:color w:val="auto"/>
          <w:sz w:val="32"/>
          <w:lang w:eastAsia="zh-CN"/>
        </w:rPr>
        <w:t>八</w:t>
      </w:r>
      <w:r>
        <w:rPr>
          <w:rFonts w:hint="eastAsia" w:ascii="宋体" w:hAnsi="宋体"/>
          <w:color w:val="auto"/>
          <w:sz w:val="32"/>
        </w:rPr>
        <w:t>日</w:t>
      </w:r>
    </w:p>
    <w:sectPr>
      <w:headerReference r:id="rId5" w:type="first"/>
      <w:footerReference r:id="rId8" w:type="first"/>
      <w:headerReference r:id="rId3" w:type="default"/>
      <w:footerReference r:id="rId6" w:type="default"/>
      <w:headerReference r:id="rId4" w:type="even"/>
      <w:footerReference r:id="rId7" w:type="even"/>
      <w:pgSz w:w="20580" w:h="14513" w:orient="landscape"/>
      <w:pgMar w:top="850" w:right="2892" w:bottom="850" w:left="2892" w:header="851" w:footer="850"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9864C7"/>
    <w:rsid w:val="000C2815"/>
    <w:rsid w:val="000D37C1"/>
    <w:rsid w:val="00106076"/>
    <w:rsid w:val="002F1968"/>
    <w:rsid w:val="005E55A8"/>
    <w:rsid w:val="009066F3"/>
    <w:rsid w:val="009B435E"/>
    <w:rsid w:val="00B57236"/>
    <w:rsid w:val="00CD19F3"/>
    <w:rsid w:val="00EF4F01"/>
    <w:rsid w:val="014676E7"/>
    <w:rsid w:val="01527205"/>
    <w:rsid w:val="01566CE1"/>
    <w:rsid w:val="01663B38"/>
    <w:rsid w:val="01787B1D"/>
    <w:rsid w:val="018443FD"/>
    <w:rsid w:val="01C30088"/>
    <w:rsid w:val="01E81E61"/>
    <w:rsid w:val="020E08C5"/>
    <w:rsid w:val="0211211F"/>
    <w:rsid w:val="022D48E1"/>
    <w:rsid w:val="02324C25"/>
    <w:rsid w:val="023D5B02"/>
    <w:rsid w:val="028D3564"/>
    <w:rsid w:val="029A5430"/>
    <w:rsid w:val="02A3743D"/>
    <w:rsid w:val="02D9357C"/>
    <w:rsid w:val="02EC274A"/>
    <w:rsid w:val="03350176"/>
    <w:rsid w:val="03815D2D"/>
    <w:rsid w:val="03B00918"/>
    <w:rsid w:val="03B56BC0"/>
    <w:rsid w:val="03D372EA"/>
    <w:rsid w:val="04064F74"/>
    <w:rsid w:val="043F4ED5"/>
    <w:rsid w:val="0457567D"/>
    <w:rsid w:val="045C6FB3"/>
    <w:rsid w:val="04B71F92"/>
    <w:rsid w:val="04CE01EF"/>
    <w:rsid w:val="04D63D94"/>
    <w:rsid w:val="04E6471A"/>
    <w:rsid w:val="04FB62F2"/>
    <w:rsid w:val="050E4908"/>
    <w:rsid w:val="050F225B"/>
    <w:rsid w:val="0517129A"/>
    <w:rsid w:val="051E66DE"/>
    <w:rsid w:val="0526395E"/>
    <w:rsid w:val="053240E1"/>
    <w:rsid w:val="054417E7"/>
    <w:rsid w:val="0575104F"/>
    <w:rsid w:val="057B5862"/>
    <w:rsid w:val="05810388"/>
    <w:rsid w:val="05974CF8"/>
    <w:rsid w:val="05C0681C"/>
    <w:rsid w:val="05FC3098"/>
    <w:rsid w:val="05FD3C0E"/>
    <w:rsid w:val="060865C6"/>
    <w:rsid w:val="063F73B9"/>
    <w:rsid w:val="06DA144F"/>
    <w:rsid w:val="070131B5"/>
    <w:rsid w:val="07267ADC"/>
    <w:rsid w:val="072B4B8C"/>
    <w:rsid w:val="079F55C8"/>
    <w:rsid w:val="07AC459B"/>
    <w:rsid w:val="07CA1792"/>
    <w:rsid w:val="07DC2DB3"/>
    <w:rsid w:val="07DF5676"/>
    <w:rsid w:val="082E617A"/>
    <w:rsid w:val="086C7ED1"/>
    <w:rsid w:val="08833F19"/>
    <w:rsid w:val="08C14F33"/>
    <w:rsid w:val="08C1624D"/>
    <w:rsid w:val="08DC37CC"/>
    <w:rsid w:val="091122E6"/>
    <w:rsid w:val="09245621"/>
    <w:rsid w:val="09250F45"/>
    <w:rsid w:val="09377AFE"/>
    <w:rsid w:val="09387339"/>
    <w:rsid w:val="097F6EC6"/>
    <w:rsid w:val="09982A4B"/>
    <w:rsid w:val="099E4D76"/>
    <w:rsid w:val="09A1286A"/>
    <w:rsid w:val="09E3473F"/>
    <w:rsid w:val="09EA48C1"/>
    <w:rsid w:val="0A233BFD"/>
    <w:rsid w:val="0A342128"/>
    <w:rsid w:val="0A375CDC"/>
    <w:rsid w:val="0A7F615A"/>
    <w:rsid w:val="0A8B6B87"/>
    <w:rsid w:val="0AFE4D83"/>
    <w:rsid w:val="0B0139D3"/>
    <w:rsid w:val="0B16466F"/>
    <w:rsid w:val="0B4B7C4E"/>
    <w:rsid w:val="0B6A65FA"/>
    <w:rsid w:val="0BC159C4"/>
    <w:rsid w:val="0BE13FA7"/>
    <w:rsid w:val="0C2A0708"/>
    <w:rsid w:val="0C3D739A"/>
    <w:rsid w:val="0C43381A"/>
    <w:rsid w:val="0C4C2749"/>
    <w:rsid w:val="0C557F51"/>
    <w:rsid w:val="0C57659D"/>
    <w:rsid w:val="0C611502"/>
    <w:rsid w:val="0C620921"/>
    <w:rsid w:val="0CA07357"/>
    <w:rsid w:val="0CDA4BD5"/>
    <w:rsid w:val="0CF86F2B"/>
    <w:rsid w:val="0D6E1EAB"/>
    <w:rsid w:val="0D8A6D81"/>
    <w:rsid w:val="0D986D9D"/>
    <w:rsid w:val="0DA67833"/>
    <w:rsid w:val="0DA76A1B"/>
    <w:rsid w:val="0DAB685F"/>
    <w:rsid w:val="0DC5285A"/>
    <w:rsid w:val="0DD32D32"/>
    <w:rsid w:val="0DF970DB"/>
    <w:rsid w:val="0DFC3F05"/>
    <w:rsid w:val="0E106857"/>
    <w:rsid w:val="0E211594"/>
    <w:rsid w:val="0E3834FA"/>
    <w:rsid w:val="0E4E11C7"/>
    <w:rsid w:val="0E667A56"/>
    <w:rsid w:val="0EE301A9"/>
    <w:rsid w:val="0F373B7D"/>
    <w:rsid w:val="0F60324B"/>
    <w:rsid w:val="0F706570"/>
    <w:rsid w:val="0F7B2ED6"/>
    <w:rsid w:val="0FAA22CC"/>
    <w:rsid w:val="0FC70CBF"/>
    <w:rsid w:val="0FCA05AB"/>
    <w:rsid w:val="0FE0047D"/>
    <w:rsid w:val="0FE5131B"/>
    <w:rsid w:val="0FF332A2"/>
    <w:rsid w:val="0FF747E8"/>
    <w:rsid w:val="100D1AE5"/>
    <w:rsid w:val="10147232"/>
    <w:rsid w:val="101B6699"/>
    <w:rsid w:val="10247E52"/>
    <w:rsid w:val="103A62A1"/>
    <w:rsid w:val="104C050B"/>
    <w:rsid w:val="10954818"/>
    <w:rsid w:val="10C72F9F"/>
    <w:rsid w:val="10D411CF"/>
    <w:rsid w:val="10D8783C"/>
    <w:rsid w:val="10E31FB0"/>
    <w:rsid w:val="10FF2809"/>
    <w:rsid w:val="111117D6"/>
    <w:rsid w:val="111C6914"/>
    <w:rsid w:val="116F18AA"/>
    <w:rsid w:val="122C6587"/>
    <w:rsid w:val="12471F47"/>
    <w:rsid w:val="12477A26"/>
    <w:rsid w:val="124D41A9"/>
    <w:rsid w:val="125E017C"/>
    <w:rsid w:val="12622EC1"/>
    <w:rsid w:val="12853082"/>
    <w:rsid w:val="12EE4C10"/>
    <w:rsid w:val="130C08AC"/>
    <w:rsid w:val="134705FB"/>
    <w:rsid w:val="135B07F8"/>
    <w:rsid w:val="138A00AF"/>
    <w:rsid w:val="13A46144"/>
    <w:rsid w:val="13C06DD8"/>
    <w:rsid w:val="13F67D50"/>
    <w:rsid w:val="13F96F29"/>
    <w:rsid w:val="14347819"/>
    <w:rsid w:val="1451422C"/>
    <w:rsid w:val="14610883"/>
    <w:rsid w:val="14B32532"/>
    <w:rsid w:val="14C87888"/>
    <w:rsid w:val="14E621B2"/>
    <w:rsid w:val="14F713ED"/>
    <w:rsid w:val="150F7803"/>
    <w:rsid w:val="15340EB1"/>
    <w:rsid w:val="15341FCC"/>
    <w:rsid w:val="154B28C9"/>
    <w:rsid w:val="15823461"/>
    <w:rsid w:val="15C042A1"/>
    <w:rsid w:val="15D94243"/>
    <w:rsid w:val="15F02C05"/>
    <w:rsid w:val="161D5142"/>
    <w:rsid w:val="166C1090"/>
    <w:rsid w:val="16885496"/>
    <w:rsid w:val="16B530CA"/>
    <w:rsid w:val="171A0AF1"/>
    <w:rsid w:val="171B3B91"/>
    <w:rsid w:val="17274E3A"/>
    <w:rsid w:val="175153DC"/>
    <w:rsid w:val="17552F8C"/>
    <w:rsid w:val="17A567BD"/>
    <w:rsid w:val="17A66208"/>
    <w:rsid w:val="17D018EC"/>
    <w:rsid w:val="17F52F3B"/>
    <w:rsid w:val="183735CB"/>
    <w:rsid w:val="18440CE4"/>
    <w:rsid w:val="184F5E80"/>
    <w:rsid w:val="185E3449"/>
    <w:rsid w:val="18700DA8"/>
    <w:rsid w:val="1893786B"/>
    <w:rsid w:val="189E4CF3"/>
    <w:rsid w:val="18AD7247"/>
    <w:rsid w:val="18B97769"/>
    <w:rsid w:val="18CF334C"/>
    <w:rsid w:val="18E752EA"/>
    <w:rsid w:val="18EF0366"/>
    <w:rsid w:val="1924414A"/>
    <w:rsid w:val="195270C4"/>
    <w:rsid w:val="198610AC"/>
    <w:rsid w:val="19A3482D"/>
    <w:rsid w:val="19BA3897"/>
    <w:rsid w:val="19D35395"/>
    <w:rsid w:val="19E42026"/>
    <w:rsid w:val="1A007E94"/>
    <w:rsid w:val="1A125A36"/>
    <w:rsid w:val="1A147345"/>
    <w:rsid w:val="1A1A1446"/>
    <w:rsid w:val="1A2F55D1"/>
    <w:rsid w:val="1ADE39C6"/>
    <w:rsid w:val="1AFA4462"/>
    <w:rsid w:val="1B2A1C18"/>
    <w:rsid w:val="1B2A676D"/>
    <w:rsid w:val="1B712B85"/>
    <w:rsid w:val="1B7C135F"/>
    <w:rsid w:val="1B804296"/>
    <w:rsid w:val="1B835BB9"/>
    <w:rsid w:val="1B8B5669"/>
    <w:rsid w:val="1B961C0D"/>
    <w:rsid w:val="1BA07164"/>
    <w:rsid w:val="1BC024A6"/>
    <w:rsid w:val="1BC34DC1"/>
    <w:rsid w:val="1BD22030"/>
    <w:rsid w:val="1BD50902"/>
    <w:rsid w:val="1BFE7DC8"/>
    <w:rsid w:val="1C35207B"/>
    <w:rsid w:val="1C4925E6"/>
    <w:rsid w:val="1C4A457D"/>
    <w:rsid w:val="1C7D240B"/>
    <w:rsid w:val="1CC1782A"/>
    <w:rsid w:val="1CCE1FA1"/>
    <w:rsid w:val="1D36587E"/>
    <w:rsid w:val="1D44156E"/>
    <w:rsid w:val="1D713219"/>
    <w:rsid w:val="1DF7361B"/>
    <w:rsid w:val="1E0A3508"/>
    <w:rsid w:val="1E281CDD"/>
    <w:rsid w:val="1EA5233C"/>
    <w:rsid w:val="1EB56DAE"/>
    <w:rsid w:val="1ECB1A3F"/>
    <w:rsid w:val="1EEA19F7"/>
    <w:rsid w:val="1EF720AB"/>
    <w:rsid w:val="1F167EC4"/>
    <w:rsid w:val="1F50629A"/>
    <w:rsid w:val="1F600E90"/>
    <w:rsid w:val="1FF12B1B"/>
    <w:rsid w:val="1FFA2BF2"/>
    <w:rsid w:val="1FFF3687"/>
    <w:rsid w:val="20262349"/>
    <w:rsid w:val="204D0335"/>
    <w:rsid w:val="204F04E6"/>
    <w:rsid w:val="20661046"/>
    <w:rsid w:val="20A75839"/>
    <w:rsid w:val="20AA1379"/>
    <w:rsid w:val="20C93AE1"/>
    <w:rsid w:val="20D76302"/>
    <w:rsid w:val="20DF4F6B"/>
    <w:rsid w:val="20E90B42"/>
    <w:rsid w:val="20F22A35"/>
    <w:rsid w:val="211D6405"/>
    <w:rsid w:val="212D74CC"/>
    <w:rsid w:val="213B0DA8"/>
    <w:rsid w:val="21721D9F"/>
    <w:rsid w:val="21907A7D"/>
    <w:rsid w:val="21C37FBB"/>
    <w:rsid w:val="21CA14CE"/>
    <w:rsid w:val="21DA73D1"/>
    <w:rsid w:val="22000E31"/>
    <w:rsid w:val="2206075B"/>
    <w:rsid w:val="22076E2C"/>
    <w:rsid w:val="2230563E"/>
    <w:rsid w:val="229165CF"/>
    <w:rsid w:val="229934B2"/>
    <w:rsid w:val="22C92D5A"/>
    <w:rsid w:val="22F34220"/>
    <w:rsid w:val="230B7105"/>
    <w:rsid w:val="23185007"/>
    <w:rsid w:val="234460F0"/>
    <w:rsid w:val="234A2BCA"/>
    <w:rsid w:val="23530739"/>
    <w:rsid w:val="23546FDD"/>
    <w:rsid w:val="24150EA3"/>
    <w:rsid w:val="24956CB3"/>
    <w:rsid w:val="24AB456E"/>
    <w:rsid w:val="24EE5D71"/>
    <w:rsid w:val="251A4659"/>
    <w:rsid w:val="25267104"/>
    <w:rsid w:val="25382257"/>
    <w:rsid w:val="25794729"/>
    <w:rsid w:val="257A6068"/>
    <w:rsid w:val="257B0F06"/>
    <w:rsid w:val="25AD2322"/>
    <w:rsid w:val="25BB36DB"/>
    <w:rsid w:val="25CB7ADC"/>
    <w:rsid w:val="25FA6D70"/>
    <w:rsid w:val="263312A8"/>
    <w:rsid w:val="26371A4A"/>
    <w:rsid w:val="271F03AD"/>
    <w:rsid w:val="273A1158"/>
    <w:rsid w:val="27440217"/>
    <w:rsid w:val="27896E5F"/>
    <w:rsid w:val="279E24A3"/>
    <w:rsid w:val="282B4AE3"/>
    <w:rsid w:val="2847269D"/>
    <w:rsid w:val="2862309A"/>
    <w:rsid w:val="28684A88"/>
    <w:rsid w:val="28971A0C"/>
    <w:rsid w:val="28B61D35"/>
    <w:rsid w:val="28BA2BA6"/>
    <w:rsid w:val="28CD7938"/>
    <w:rsid w:val="28EC4DF2"/>
    <w:rsid w:val="29103A4F"/>
    <w:rsid w:val="297907A9"/>
    <w:rsid w:val="29B000FE"/>
    <w:rsid w:val="29E27F73"/>
    <w:rsid w:val="2A0B7093"/>
    <w:rsid w:val="2A2A3A83"/>
    <w:rsid w:val="2A3A777E"/>
    <w:rsid w:val="2A42207E"/>
    <w:rsid w:val="2A651234"/>
    <w:rsid w:val="2A6E2526"/>
    <w:rsid w:val="2A992F97"/>
    <w:rsid w:val="2AAA3EFB"/>
    <w:rsid w:val="2B316F90"/>
    <w:rsid w:val="2BAF01EC"/>
    <w:rsid w:val="2BE002CA"/>
    <w:rsid w:val="2BFF279B"/>
    <w:rsid w:val="2C092827"/>
    <w:rsid w:val="2C0A74A0"/>
    <w:rsid w:val="2C496C35"/>
    <w:rsid w:val="2C8C32D8"/>
    <w:rsid w:val="2CA03764"/>
    <w:rsid w:val="2CEC66C1"/>
    <w:rsid w:val="2D0A3365"/>
    <w:rsid w:val="2D1E582C"/>
    <w:rsid w:val="2D216900"/>
    <w:rsid w:val="2D530676"/>
    <w:rsid w:val="2D68475C"/>
    <w:rsid w:val="2D760B9F"/>
    <w:rsid w:val="2D9270C7"/>
    <w:rsid w:val="2DBC4734"/>
    <w:rsid w:val="2E1017CA"/>
    <w:rsid w:val="2E4B1359"/>
    <w:rsid w:val="2E7C0AC9"/>
    <w:rsid w:val="2EA43E8C"/>
    <w:rsid w:val="2ECC1AA8"/>
    <w:rsid w:val="2ED717E3"/>
    <w:rsid w:val="2F043236"/>
    <w:rsid w:val="2F3D30B0"/>
    <w:rsid w:val="2F550610"/>
    <w:rsid w:val="2F705ACC"/>
    <w:rsid w:val="2FC10AF2"/>
    <w:rsid w:val="2FC140BB"/>
    <w:rsid w:val="2FCC439C"/>
    <w:rsid w:val="2FEF7FA9"/>
    <w:rsid w:val="30031650"/>
    <w:rsid w:val="30392B76"/>
    <w:rsid w:val="30496E8B"/>
    <w:rsid w:val="30716018"/>
    <w:rsid w:val="30776BA3"/>
    <w:rsid w:val="307F284A"/>
    <w:rsid w:val="30973BBA"/>
    <w:rsid w:val="30A55B0A"/>
    <w:rsid w:val="30E8219E"/>
    <w:rsid w:val="312541A9"/>
    <w:rsid w:val="312C2DBE"/>
    <w:rsid w:val="3130296F"/>
    <w:rsid w:val="314A0F81"/>
    <w:rsid w:val="316724D8"/>
    <w:rsid w:val="3175743E"/>
    <w:rsid w:val="317A6108"/>
    <w:rsid w:val="319C79AB"/>
    <w:rsid w:val="31AD7097"/>
    <w:rsid w:val="31FC7F9C"/>
    <w:rsid w:val="32050922"/>
    <w:rsid w:val="32411710"/>
    <w:rsid w:val="32BE4A60"/>
    <w:rsid w:val="32D717FD"/>
    <w:rsid w:val="32E37EF7"/>
    <w:rsid w:val="32EF046C"/>
    <w:rsid w:val="33054896"/>
    <w:rsid w:val="337F5D64"/>
    <w:rsid w:val="3417791B"/>
    <w:rsid w:val="342B53D3"/>
    <w:rsid w:val="34511CB0"/>
    <w:rsid w:val="34606A18"/>
    <w:rsid w:val="34682242"/>
    <w:rsid w:val="34776C70"/>
    <w:rsid w:val="34B536DF"/>
    <w:rsid w:val="34C4545C"/>
    <w:rsid w:val="34DA75AB"/>
    <w:rsid w:val="34F868B0"/>
    <w:rsid w:val="3510034A"/>
    <w:rsid w:val="352D7554"/>
    <w:rsid w:val="35430969"/>
    <w:rsid w:val="3553306B"/>
    <w:rsid w:val="358F569A"/>
    <w:rsid w:val="35C26F52"/>
    <w:rsid w:val="35FB3857"/>
    <w:rsid w:val="363E6D1C"/>
    <w:rsid w:val="364C6624"/>
    <w:rsid w:val="365C7884"/>
    <w:rsid w:val="369864C7"/>
    <w:rsid w:val="36A81F18"/>
    <w:rsid w:val="36B9341D"/>
    <w:rsid w:val="36F67C58"/>
    <w:rsid w:val="370D26BD"/>
    <w:rsid w:val="37192BF8"/>
    <w:rsid w:val="374133C3"/>
    <w:rsid w:val="37424406"/>
    <w:rsid w:val="37546C15"/>
    <w:rsid w:val="37685652"/>
    <w:rsid w:val="37697C8B"/>
    <w:rsid w:val="3778770B"/>
    <w:rsid w:val="379F7A04"/>
    <w:rsid w:val="37B67319"/>
    <w:rsid w:val="37C32A24"/>
    <w:rsid w:val="37FA356D"/>
    <w:rsid w:val="381377E1"/>
    <w:rsid w:val="385E5249"/>
    <w:rsid w:val="38661D69"/>
    <w:rsid w:val="38E9290A"/>
    <w:rsid w:val="39112D84"/>
    <w:rsid w:val="39253832"/>
    <w:rsid w:val="394F0789"/>
    <w:rsid w:val="39583E0E"/>
    <w:rsid w:val="396336EF"/>
    <w:rsid w:val="396C7E69"/>
    <w:rsid w:val="399C0223"/>
    <w:rsid w:val="39A90C8A"/>
    <w:rsid w:val="39B76628"/>
    <w:rsid w:val="39DD3059"/>
    <w:rsid w:val="3A005799"/>
    <w:rsid w:val="3A084599"/>
    <w:rsid w:val="3A580657"/>
    <w:rsid w:val="3AAA7559"/>
    <w:rsid w:val="3ABD4843"/>
    <w:rsid w:val="3ABF26FF"/>
    <w:rsid w:val="3AF17554"/>
    <w:rsid w:val="3B165AF5"/>
    <w:rsid w:val="3B502CEE"/>
    <w:rsid w:val="3B5D45A6"/>
    <w:rsid w:val="3B73570F"/>
    <w:rsid w:val="3B735AF5"/>
    <w:rsid w:val="3B896982"/>
    <w:rsid w:val="3BB407E5"/>
    <w:rsid w:val="3BE15F3D"/>
    <w:rsid w:val="3C196095"/>
    <w:rsid w:val="3C2767C3"/>
    <w:rsid w:val="3C287335"/>
    <w:rsid w:val="3C3C5CE4"/>
    <w:rsid w:val="3C582A32"/>
    <w:rsid w:val="3C81343D"/>
    <w:rsid w:val="3C8A3DF6"/>
    <w:rsid w:val="3CC246E8"/>
    <w:rsid w:val="3CEB78D2"/>
    <w:rsid w:val="3D0B7BB7"/>
    <w:rsid w:val="3D416032"/>
    <w:rsid w:val="3D480709"/>
    <w:rsid w:val="3D5177AE"/>
    <w:rsid w:val="3D547A9B"/>
    <w:rsid w:val="3D832CB1"/>
    <w:rsid w:val="3DAC6B16"/>
    <w:rsid w:val="3DBC6231"/>
    <w:rsid w:val="3DD6663A"/>
    <w:rsid w:val="3DFA001F"/>
    <w:rsid w:val="3E42795A"/>
    <w:rsid w:val="3E596114"/>
    <w:rsid w:val="3EBE4416"/>
    <w:rsid w:val="3EC27BDE"/>
    <w:rsid w:val="3EE3018E"/>
    <w:rsid w:val="3EF431BE"/>
    <w:rsid w:val="3EF87F94"/>
    <w:rsid w:val="3F2C486D"/>
    <w:rsid w:val="3F3C07FF"/>
    <w:rsid w:val="3F477B43"/>
    <w:rsid w:val="3F553938"/>
    <w:rsid w:val="3F591D29"/>
    <w:rsid w:val="3F6C0748"/>
    <w:rsid w:val="3FFD40FF"/>
    <w:rsid w:val="40323785"/>
    <w:rsid w:val="40334C84"/>
    <w:rsid w:val="4040590F"/>
    <w:rsid w:val="405D1583"/>
    <w:rsid w:val="40975B22"/>
    <w:rsid w:val="409F34D0"/>
    <w:rsid w:val="41012A73"/>
    <w:rsid w:val="41060DB4"/>
    <w:rsid w:val="410D71C4"/>
    <w:rsid w:val="41141FEE"/>
    <w:rsid w:val="412439D4"/>
    <w:rsid w:val="413A3164"/>
    <w:rsid w:val="41526CB6"/>
    <w:rsid w:val="41723DE8"/>
    <w:rsid w:val="41A37BDB"/>
    <w:rsid w:val="41AE45C9"/>
    <w:rsid w:val="42377ABC"/>
    <w:rsid w:val="42404C60"/>
    <w:rsid w:val="425F4F95"/>
    <w:rsid w:val="42817C0B"/>
    <w:rsid w:val="42826A3D"/>
    <w:rsid w:val="429F7FF0"/>
    <w:rsid w:val="42A11DC3"/>
    <w:rsid w:val="42AA796E"/>
    <w:rsid w:val="42B77A94"/>
    <w:rsid w:val="42BB1519"/>
    <w:rsid w:val="42D70A5D"/>
    <w:rsid w:val="42FA2F29"/>
    <w:rsid w:val="43603154"/>
    <w:rsid w:val="43867E29"/>
    <w:rsid w:val="43936B0F"/>
    <w:rsid w:val="43990471"/>
    <w:rsid w:val="43A92275"/>
    <w:rsid w:val="43C70C58"/>
    <w:rsid w:val="43CA2C50"/>
    <w:rsid w:val="43DB165E"/>
    <w:rsid w:val="44613782"/>
    <w:rsid w:val="44A51DCA"/>
    <w:rsid w:val="44E46E27"/>
    <w:rsid w:val="451A1A53"/>
    <w:rsid w:val="45230DCC"/>
    <w:rsid w:val="45330F8C"/>
    <w:rsid w:val="45377466"/>
    <w:rsid w:val="454A2F96"/>
    <w:rsid w:val="454F6C22"/>
    <w:rsid w:val="45541F9B"/>
    <w:rsid w:val="4578770E"/>
    <w:rsid w:val="45A6783D"/>
    <w:rsid w:val="45AC5897"/>
    <w:rsid w:val="45CC21ED"/>
    <w:rsid w:val="45CF1302"/>
    <w:rsid w:val="46063F7B"/>
    <w:rsid w:val="460C7A23"/>
    <w:rsid w:val="46144D8A"/>
    <w:rsid w:val="46242F5A"/>
    <w:rsid w:val="46303095"/>
    <w:rsid w:val="46414091"/>
    <w:rsid w:val="46522848"/>
    <w:rsid w:val="466D0867"/>
    <w:rsid w:val="467D6CE5"/>
    <w:rsid w:val="46971D2D"/>
    <w:rsid w:val="46E205C9"/>
    <w:rsid w:val="46E55465"/>
    <w:rsid w:val="474E77D3"/>
    <w:rsid w:val="475F535D"/>
    <w:rsid w:val="476B363D"/>
    <w:rsid w:val="479A02D0"/>
    <w:rsid w:val="479C3477"/>
    <w:rsid w:val="47DC6F04"/>
    <w:rsid w:val="481444B8"/>
    <w:rsid w:val="4818105A"/>
    <w:rsid w:val="48412739"/>
    <w:rsid w:val="484641AC"/>
    <w:rsid w:val="48816388"/>
    <w:rsid w:val="488F1B87"/>
    <w:rsid w:val="48A2393A"/>
    <w:rsid w:val="48BF0915"/>
    <w:rsid w:val="48D3117B"/>
    <w:rsid w:val="48F916BF"/>
    <w:rsid w:val="490B46D7"/>
    <w:rsid w:val="493F5EB6"/>
    <w:rsid w:val="494E1AAA"/>
    <w:rsid w:val="497240AE"/>
    <w:rsid w:val="49803E21"/>
    <w:rsid w:val="49BD5B00"/>
    <w:rsid w:val="49C749C2"/>
    <w:rsid w:val="49DC0002"/>
    <w:rsid w:val="4A071802"/>
    <w:rsid w:val="4A4C6A0F"/>
    <w:rsid w:val="4A6B5133"/>
    <w:rsid w:val="4A865A6E"/>
    <w:rsid w:val="4AC70258"/>
    <w:rsid w:val="4B717365"/>
    <w:rsid w:val="4B823897"/>
    <w:rsid w:val="4BA35BBE"/>
    <w:rsid w:val="4BB67879"/>
    <w:rsid w:val="4BFB3918"/>
    <w:rsid w:val="4C0328B9"/>
    <w:rsid w:val="4C114C75"/>
    <w:rsid w:val="4C186F6F"/>
    <w:rsid w:val="4C550406"/>
    <w:rsid w:val="4C716161"/>
    <w:rsid w:val="4CB02499"/>
    <w:rsid w:val="4CB43E6E"/>
    <w:rsid w:val="4CD205FF"/>
    <w:rsid w:val="4CDF7D3D"/>
    <w:rsid w:val="4CE42BE0"/>
    <w:rsid w:val="4D167624"/>
    <w:rsid w:val="4D62730F"/>
    <w:rsid w:val="4D675860"/>
    <w:rsid w:val="4D76067B"/>
    <w:rsid w:val="4D793A85"/>
    <w:rsid w:val="4DAF538B"/>
    <w:rsid w:val="4DB2654E"/>
    <w:rsid w:val="4DB74B24"/>
    <w:rsid w:val="4DC062B3"/>
    <w:rsid w:val="4DC81343"/>
    <w:rsid w:val="4DCE028B"/>
    <w:rsid w:val="4DD94C26"/>
    <w:rsid w:val="4DE11371"/>
    <w:rsid w:val="4DE1592A"/>
    <w:rsid w:val="4DE40061"/>
    <w:rsid w:val="4DEC1A4D"/>
    <w:rsid w:val="4E0313D5"/>
    <w:rsid w:val="4E2E17DF"/>
    <w:rsid w:val="4E473ECF"/>
    <w:rsid w:val="4E674B13"/>
    <w:rsid w:val="4E756989"/>
    <w:rsid w:val="4E92115E"/>
    <w:rsid w:val="4EA14971"/>
    <w:rsid w:val="4EC4772B"/>
    <w:rsid w:val="4ECE41BA"/>
    <w:rsid w:val="4F195B8F"/>
    <w:rsid w:val="4F5B3DD4"/>
    <w:rsid w:val="4F8F6CDE"/>
    <w:rsid w:val="4FA12BF2"/>
    <w:rsid w:val="4FB2749E"/>
    <w:rsid w:val="4FB54D94"/>
    <w:rsid w:val="4FC1795E"/>
    <w:rsid w:val="4FFE0EB0"/>
    <w:rsid w:val="4FFF7AD7"/>
    <w:rsid w:val="501730A8"/>
    <w:rsid w:val="5039653F"/>
    <w:rsid w:val="5052568C"/>
    <w:rsid w:val="50580954"/>
    <w:rsid w:val="509223C4"/>
    <w:rsid w:val="50C747B6"/>
    <w:rsid w:val="50CB3670"/>
    <w:rsid w:val="510C1A1A"/>
    <w:rsid w:val="511263FF"/>
    <w:rsid w:val="5121271C"/>
    <w:rsid w:val="51304F1B"/>
    <w:rsid w:val="513410F9"/>
    <w:rsid w:val="51AD4589"/>
    <w:rsid w:val="51EC39CD"/>
    <w:rsid w:val="52166F32"/>
    <w:rsid w:val="52354759"/>
    <w:rsid w:val="524C4DA9"/>
    <w:rsid w:val="52763CCF"/>
    <w:rsid w:val="52892F83"/>
    <w:rsid w:val="52934DAF"/>
    <w:rsid w:val="52A314B6"/>
    <w:rsid w:val="52A539AB"/>
    <w:rsid w:val="52B31366"/>
    <w:rsid w:val="52D11BA4"/>
    <w:rsid w:val="52FF11AD"/>
    <w:rsid w:val="530F6EC6"/>
    <w:rsid w:val="53275EFA"/>
    <w:rsid w:val="53406604"/>
    <w:rsid w:val="534D00C9"/>
    <w:rsid w:val="537D62A1"/>
    <w:rsid w:val="53986255"/>
    <w:rsid w:val="53C33446"/>
    <w:rsid w:val="53D563A4"/>
    <w:rsid w:val="542C494C"/>
    <w:rsid w:val="5458629B"/>
    <w:rsid w:val="5474559A"/>
    <w:rsid w:val="5478215D"/>
    <w:rsid w:val="54801850"/>
    <w:rsid w:val="54E35378"/>
    <w:rsid w:val="5515061B"/>
    <w:rsid w:val="55505FBB"/>
    <w:rsid w:val="560A3A04"/>
    <w:rsid w:val="56417C45"/>
    <w:rsid w:val="564B6765"/>
    <w:rsid w:val="56580FDE"/>
    <w:rsid w:val="56D127CF"/>
    <w:rsid w:val="56EC408F"/>
    <w:rsid w:val="56FB76E5"/>
    <w:rsid w:val="574F6A4F"/>
    <w:rsid w:val="57F049BB"/>
    <w:rsid w:val="58121467"/>
    <w:rsid w:val="5813505C"/>
    <w:rsid w:val="58344F9C"/>
    <w:rsid w:val="587C4AE7"/>
    <w:rsid w:val="587E3059"/>
    <w:rsid w:val="59133DA0"/>
    <w:rsid w:val="5930418C"/>
    <w:rsid w:val="593E08FB"/>
    <w:rsid w:val="595211D8"/>
    <w:rsid w:val="597D3218"/>
    <w:rsid w:val="598559C8"/>
    <w:rsid w:val="598E55E5"/>
    <w:rsid w:val="599F34CD"/>
    <w:rsid w:val="59AE1AA4"/>
    <w:rsid w:val="5A814A57"/>
    <w:rsid w:val="5A931A17"/>
    <w:rsid w:val="5AB3587E"/>
    <w:rsid w:val="5ABC3AA8"/>
    <w:rsid w:val="5B026B1C"/>
    <w:rsid w:val="5B0A6E20"/>
    <w:rsid w:val="5B110205"/>
    <w:rsid w:val="5B276F15"/>
    <w:rsid w:val="5B2D7C97"/>
    <w:rsid w:val="5B6D7FCE"/>
    <w:rsid w:val="5B740F70"/>
    <w:rsid w:val="5B981078"/>
    <w:rsid w:val="5B9A4D7C"/>
    <w:rsid w:val="5BBC0C92"/>
    <w:rsid w:val="5BD61446"/>
    <w:rsid w:val="5BF1086C"/>
    <w:rsid w:val="5C050904"/>
    <w:rsid w:val="5C392D16"/>
    <w:rsid w:val="5C3E6C82"/>
    <w:rsid w:val="5CA54E96"/>
    <w:rsid w:val="5CBD10D2"/>
    <w:rsid w:val="5D2157E2"/>
    <w:rsid w:val="5D2B0296"/>
    <w:rsid w:val="5D550EE7"/>
    <w:rsid w:val="5D9375B1"/>
    <w:rsid w:val="5DA000FA"/>
    <w:rsid w:val="5DBE32F8"/>
    <w:rsid w:val="5DBE675B"/>
    <w:rsid w:val="5E1F35B5"/>
    <w:rsid w:val="5E2A5E2C"/>
    <w:rsid w:val="5E3720A8"/>
    <w:rsid w:val="5E4B2B29"/>
    <w:rsid w:val="5E535D7F"/>
    <w:rsid w:val="5E9729CB"/>
    <w:rsid w:val="5ECD4B43"/>
    <w:rsid w:val="5ED70EB8"/>
    <w:rsid w:val="5EF3047F"/>
    <w:rsid w:val="5EF7764F"/>
    <w:rsid w:val="5F1275F1"/>
    <w:rsid w:val="5F215817"/>
    <w:rsid w:val="5F2230B2"/>
    <w:rsid w:val="5F433F73"/>
    <w:rsid w:val="5F786153"/>
    <w:rsid w:val="5F8310A4"/>
    <w:rsid w:val="5FA83596"/>
    <w:rsid w:val="5FB86D2C"/>
    <w:rsid w:val="5FD521E6"/>
    <w:rsid w:val="5FEE074F"/>
    <w:rsid w:val="601B35BB"/>
    <w:rsid w:val="604477C7"/>
    <w:rsid w:val="607C5913"/>
    <w:rsid w:val="60912B55"/>
    <w:rsid w:val="609D6B55"/>
    <w:rsid w:val="609F3BF8"/>
    <w:rsid w:val="60BD5DB7"/>
    <w:rsid w:val="611369E8"/>
    <w:rsid w:val="61206D0B"/>
    <w:rsid w:val="61435C3C"/>
    <w:rsid w:val="615B2848"/>
    <w:rsid w:val="6184139F"/>
    <w:rsid w:val="61923010"/>
    <w:rsid w:val="61B95C71"/>
    <w:rsid w:val="61C47C5B"/>
    <w:rsid w:val="61D43D82"/>
    <w:rsid w:val="61D801E5"/>
    <w:rsid w:val="61E30DEE"/>
    <w:rsid w:val="62576B37"/>
    <w:rsid w:val="625D78FE"/>
    <w:rsid w:val="629540BF"/>
    <w:rsid w:val="62AB7F1F"/>
    <w:rsid w:val="62D54D07"/>
    <w:rsid w:val="62DE1267"/>
    <w:rsid w:val="63074EC6"/>
    <w:rsid w:val="63390AE0"/>
    <w:rsid w:val="63A75256"/>
    <w:rsid w:val="63F0728F"/>
    <w:rsid w:val="63F32C57"/>
    <w:rsid w:val="63F76227"/>
    <w:rsid w:val="64186534"/>
    <w:rsid w:val="641A5B8C"/>
    <w:rsid w:val="64200C25"/>
    <w:rsid w:val="64406528"/>
    <w:rsid w:val="64564BAF"/>
    <w:rsid w:val="648122B6"/>
    <w:rsid w:val="64843B6F"/>
    <w:rsid w:val="64C73D1F"/>
    <w:rsid w:val="64DD7915"/>
    <w:rsid w:val="655A53FD"/>
    <w:rsid w:val="659A6D5E"/>
    <w:rsid w:val="65FC23C4"/>
    <w:rsid w:val="65FF178D"/>
    <w:rsid w:val="663A04AF"/>
    <w:rsid w:val="6646001D"/>
    <w:rsid w:val="66A4402D"/>
    <w:rsid w:val="66E67D05"/>
    <w:rsid w:val="66FE184D"/>
    <w:rsid w:val="67127406"/>
    <w:rsid w:val="674F5817"/>
    <w:rsid w:val="67793F04"/>
    <w:rsid w:val="679053FA"/>
    <w:rsid w:val="680E00A0"/>
    <w:rsid w:val="682864B9"/>
    <w:rsid w:val="682B23BF"/>
    <w:rsid w:val="68550D8D"/>
    <w:rsid w:val="68613997"/>
    <w:rsid w:val="689A1A84"/>
    <w:rsid w:val="68A80453"/>
    <w:rsid w:val="68CE671A"/>
    <w:rsid w:val="68E611C5"/>
    <w:rsid w:val="68EB7E23"/>
    <w:rsid w:val="68EF7339"/>
    <w:rsid w:val="690A2F13"/>
    <w:rsid w:val="691B13F2"/>
    <w:rsid w:val="691B43D4"/>
    <w:rsid w:val="695855A5"/>
    <w:rsid w:val="69632AD0"/>
    <w:rsid w:val="69654BF7"/>
    <w:rsid w:val="69A6722F"/>
    <w:rsid w:val="69C50D28"/>
    <w:rsid w:val="69E46FCF"/>
    <w:rsid w:val="69ED266E"/>
    <w:rsid w:val="6A36352C"/>
    <w:rsid w:val="6A55558C"/>
    <w:rsid w:val="6A92699E"/>
    <w:rsid w:val="6AAD4732"/>
    <w:rsid w:val="6AFE7816"/>
    <w:rsid w:val="6B004808"/>
    <w:rsid w:val="6B162937"/>
    <w:rsid w:val="6B227509"/>
    <w:rsid w:val="6BAB6B67"/>
    <w:rsid w:val="6BDC72B1"/>
    <w:rsid w:val="6C151001"/>
    <w:rsid w:val="6C470301"/>
    <w:rsid w:val="6C492E12"/>
    <w:rsid w:val="6CC867C0"/>
    <w:rsid w:val="6CCF32BE"/>
    <w:rsid w:val="6D230A00"/>
    <w:rsid w:val="6D392EF8"/>
    <w:rsid w:val="6D44519D"/>
    <w:rsid w:val="6D523C4C"/>
    <w:rsid w:val="6D5A2354"/>
    <w:rsid w:val="6D9425DF"/>
    <w:rsid w:val="6D9B139E"/>
    <w:rsid w:val="6DA453C3"/>
    <w:rsid w:val="6DD8090A"/>
    <w:rsid w:val="6DE21686"/>
    <w:rsid w:val="6E0500B0"/>
    <w:rsid w:val="6E0E3BC6"/>
    <w:rsid w:val="6E240ED0"/>
    <w:rsid w:val="6E5F18D9"/>
    <w:rsid w:val="6E7B1005"/>
    <w:rsid w:val="6E7F0282"/>
    <w:rsid w:val="6E8E19E5"/>
    <w:rsid w:val="6EA35C16"/>
    <w:rsid w:val="6EAF6DD9"/>
    <w:rsid w:val="6EBF595A"/>
    <w:rsid w:val="6EC64C5F"/>
    <w:rsid w:val="6ED1470F"/>
    <w:rsid w:val="6EF71F3F"/>
    <w:rsid w:val="6F684DC3"/>
    <w:rsid w:val="6F6E389A"/>
    <w:rsid w:val="6F8268BA"/>
    <w:rsid w:val="6F8C46B2"/>
    <w:rsid w:val="6FB42184"/>
    <w:rsid w:val="6FB63B47"/>
    <w:rsid w:val="6FCA4E8D"/>
    <w:rsid w:val="6FF55447"/>
    <w:rsid w:val="70137FE3"/>
    <w:rsid w:val="70695821"/>
    <w:rsid w:val="708F5743"/>
    <w:rsid w:val="70DB406D"/>
    <w:rsid w:val="70FD1202"/>
    <w:rsid w:val="710678F6"/>
    <w:rsid w:val="713A4937"/>
    <w:rsid w:val="71CC1565"/>
    <w:rsid w:val="71F15D72"/>
    <w:rsid w:val="72102ED6"/>
    <w:rsid w:val="72413960"/>
    <w:rsid w:val="72564E25"/>
    <w:rsid w:val="725D217C"/>
    <w:rsid w:val="72667B89"/>
    <w:rsid w:val="72CE7DBA"/>
    <w:rsid w:val="72D57962"/>
    <w:rsid w:val="7344020D"/>
    <w:rsid w:val="736A56DA"/>
    <w:rsid w:val="736C6348"/>
    <w:rsid w:val="73846DC6"/>
    <w:rsid w:val="738A7FE3"/>
    <w:rsid w:val="739742EF"/>
    <w:rsid w:val="73BB181E"/>
    <w:rsid w:val="73CA309F"/>
    <w:rsid w:val="73ED2997"/>
    <w:rsid w:val="741B0522"/>
    <w:rsid w:val="746A330B"/>
    <w:rsid w:val="74DC34E4"/>
    <w:rsid w:val="75033E85"/>
    <w:rsid w:val="75094F80"/>
    <w:rsid w:val="75475263"/>
    <w:rsid w:val="75616AB7"/>
    <w:rsid w:val="75660C37"/>
    <w:rsid w:val="756C144D"/>
    <w:rsid w:val="757E10B5"/>
    <w:rsid w:val="75BE290B"/>
    <w:rsid w:val="75D54DCB"/>
    <w:rsid w:val="75ED5457"/>
    <w:rsid w:val="75F55BCD"/>
    <w:rsid w:val="76062931"/>
    <w:rsid w:val="764A200A"/>
    <w:rsid w:val="76871585"/>
    <w:rsid w:val="76AC4D9E"/>
    <w:rsid w:val="76B33749"/>
    <w:rsid w:val="76F303D4"/>
    <w:rsid w:val="76F4134C"/>
    <w:rsid w:val="770D7A0E"/>
    <w:rsid w:val="77112614"/>
    <w:rsid w:val="773702DF"/>
    <w:rsid w:val="77413D9F"/>
    <w:rsid w:val="77690FA0"/>
    <w:rsid w:val="77810C17"/>
    <w:rsid w:val="77902A5B"/>
    <w:rsid w:val="77BE7658"/>
    <w:rsid w:val="77F164C9"/>
    <w:rsid w:val="78184698"/>
    <w:rsid w:val="78385CE5"/>
    <w:rsid w:val="783E667B"/>
    <w:rsid w:val="785A75E7"/>
    <w:rsid w:val="78AB26AD"/>
    <w:rsid w:val="78AC1E5B"/>
    <w:rsid w:val="78BC0BFC"/>
    <w:rsid w:val="78C20E0F"/>
    <w:rsid w:val="78EE47BD"/>
    <w:rsid w:val="791B25E6"/>
    <w:rsid w:val="79243BC2"/>
    <w:rsid w:val="796B1573"/>
    <w:rsid w:val="797E0AE7"/>
    <w:rsid w:val="79852879"/>
    <w:rsid w:val="798D65CA"/>
    <w:rsid w:val="799752B3"/>
    <w:rsid w:val="79C45CE9"/>
    <w:rsid w:val="79C97FA5"/>
    <w:rsid w:val="7A4A30D2"/>
    <w:rsid w:val="7A4B602F"/>
    <w:rsid w:val="7A7727AB"/>
    <w:rsid w:val="7A9B7B5F"/>
    <w:rsid w:val="7AD61880"/>
    <w:rsid w:val="7B040DA3"/>
    <w:rsid w:val="7B2674F1"/>
    <w:rsid w:val="7B3E430F"/>
    <w:rsid w:val="7B687541"/>
    <w:rsid w:val="7B70623A"/>
    <w:rsid w:val="7BB61F74"/>
    <w:rsid w:val="7BEF38A7"/>
    <w:rsid w:val="7BF33E29"/>
    <w:rsid w:val="7BFB0C0A"/>
    <w:rsid w:val="7C043EBF"/>
    <w:rsid w:val="7C173528"/>
    <w:rsid w:val="7C265BF2"/>
    <w:rsid w:val="7C5E7DBD"/>
    <w:rsid w:val="7C6552DD"/>
    <w:rsid w:val="7CB479C8"/>
    <w:rsid w:val="7CD30A02"/>
    <w:rsid w:val="7CE86EFB"/>
    <w:rsid w:val="7D755832"/>
    <w:rsid w:val="7DA278D2"/>
    <w:rsid w:val="7DAA3111"/>
    <w:rsid w:val="7DC5210A"/>
    <w:rsid w:val="7E9067FA"/>
    <w:rsid w:val="7E9A52A5"/>
    <w:rsid w:val="7EA12099"/>
    <w:rsid w:val="7EE07347"/>
    <w:rsid w:val="7EE645D8"/>
    <w:rsid w:val="7F1C35A2"/>
    <w:rsid w:val="7F1E1E27"/>
    <w:rsid w:val="7F20239D"/>
    <w:rsid w:val="7F372BD0"/>
    <w:rsid w:val="7F6C454B"/>
    <w:rsid w:val="7F7B52F1"/>
    <w:rsid w:val="7FA62DB7"/>
    <w:rsid w:val="7FBD320E"/>
    <w:rsid w:val="7FFA17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2019-08-27T04:42:00Z</dcterms:created>
  <dc:creator>郑睿</dc:creator>
  <cp:lastModifiedBy>Administrator</cp:lastModifiedBy>
  <dcterms:modified xsi:type="dcterms:W3CDTF">2023-08-09T11:08:29Z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