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ind w:firstLine="0" w:firstLineChars="0"/>
        <w:rPr>
          <w:rFonts w:eastAsiaTheme="minorEastAsia"/>
          <w:b/>
          <w:bCs/>
          <w:sz w:val="44"/>
          <w:szCs w:val="44"/>
        </w:rPr>
      </w:pPr>
    </w:p>
    <w:p>
      <w:pPr>
        <w:pStyle w:val="3"/>
        <w:ind w:firstLine="0" w:firstLineChars="0"/>
        <w:rPr>
          <w:rFonts w:eastAsiaTheme="minorEastAsia"/>
          <w:b/>
          <w:bCs/>
          <w:sz w:val="44"/>
          <w:szCs w:val="44"/>
        </w:rPr>
      </w:pPr>
    </w:p>
    <w:p>
      <w:pPr>
        <w:pStyle w:val="3"/>
        <w:ind w:firstLine="0" w:firstLineChars="0"/>
        <w:rPr>
          <w:rFonts w:eastAsiaTheme="minorEastAsia"/>
          <w:b/>
          <w:bCs/>
          <w:sz w:val="44"/>
          <w:szCs w:val="44"/>
        </w:rPr>
      </w:pPr>
    </w:p>
    <w:p>
      <w:pPr>
        <w:pStyle w:val="3"/>
        <w:ind w:firstLine="0" w:firstLineChars="0"/>
        <w:rPr>
          <w:rFonts w:eastAsiaTheme="minorEastAsia"/>
          <w:b/>
          <w:bCs/>
          <w:sz w:val="44"/>
          <w:szCs w:val="44"/>
        </w:rPr>
      </w:pPr>
    </w:p>
    <w:p>
      <w:pPr>
        <w:pStyle w:val="3"/>
        <w:ind w:firstLine="0" w:firstLineChars="0"/>
        <w:rPr>
          <w:rFonts w:eastAsiaTheme="minorEastAsia"/>
          <w:b/>
          <w:bCs/>
          <w:sz w:val="44"/>
          <w:szCs w:val="44"/>
        </w:rPr>
      </w:pPr>
    </w:p>
    <w:p>
      <w:pPr>
        <w:widowControl w:val="0"/>
        <w:snapToGrid w:val="0"/>
        <w:spacing w:line="300" w:lineRule="auto"/>
        <w:jc w:val="center"/>
        <w:rPr>
          <w:rFonts w:eastAsia="华文中宋"/>
          <w:b/>
          <w:sz w:val="52"/>
          <w:szCs w:val="52"/>
        </w:rPr>
      </w:pPr>
      <w:bookmarkStart w:id="0" w:name="_Toc19650"/>
      <w:bookmarkStart w:id="1" w:name="_Toc27238"/>
      <w:bookmarkStart w:id="2" w:name="_Toc12521"/>
      <w:bookmarkStart w:id="3" w:name="_Toc29412"/>
      <w:r>
        <w:rPr>
          <w:rFonts w:eastAsia="华文中宋"/>
          <w:b/>
          <w:sz w:val="52"/>
          <w:szCs w:val="52"/>
        </w:rPr>
        <w:t>伊吾县工业固体废物污染防治规划</w:t>
      </w:r>
      <w:bookmarkEnd w:id="0"/>
      <w:bookmarkEnd w:id="1"/>
      <w:bookmarkEnd w:id="2"/>
      <w:bookmarkEnd w:id="3"/>
    </w:p>
    <w:p>
      <w:pPr>
        <w:rPr>
          <w:rFonts w:eastAsiaTheme="minorEastAsia"/>
          <w:b/>
          <w:bCs/>
          <w:sz w:val="44"/>
          <w:szCs w:val="44"/>
        </w:rPr>
      </w:pPr>
    </w:p>
    <w:p>
      <w:pPr>
        <w:pStyle w:val="2"/>
        <w:spacing w:before="468" w:after="312"/>
        <w:ind w:firstLine="403"/>
      </w:pPr>
      <w:bookmarkStart w:id="4" w:name="_Toc3744"/>
      <w:bookmarkStart w:id="5" w:name="_Toc20138"/>
      <w:bookmarkStart w:id="6" w:name="_Toc3740"/>
      <w:bookmarkStart w:id="7" w:name="_Toc17904"/>
      <w:bookmarkStart w:id="8" w:name="_Hlk154498512"/>
      <w:bookmarkStart w:id="9" w:name="_Toc9384"/>
      <w:bookmarkStart w:id="10" w:name="_Toc30856"/>
      <w:bookmarkStart w:id="11" w:name="_Toc30528"/>
      <w:bookmarkStart w:id="12" w:name="_Toc13112"/>
    </w:p>
    <w:p>
      <w:pPr>
        <w:pStyle w:val="2"/>
        <w:spacing w:before="468" w:after="312"/>
        <w:ind w:firstLine="403"/>
      </w:pPr>
    </w:p>
    <w:p>
      <w:pPr>
        <w:pStyle w:val="2"/>
        <w:spacing w:before="468" w:after="312"/>
        <w:ind w:firstLine="403" w:firstLineChars="192"/>
      </w:pPr>
    </w:p>
    <w:p>
      <w:pPr>
        <w:pStyle w:val="2"/>
        <w:spacing w:before="468" w:after="312"/>
        <w:ind w:firstLine="403"/>
        <w:jc w:val="both"/>
      </w:pPr>
    </w:p>
    <w:p>
      <w:pPr>
        <w:pStyle w:val="2"/>
        <w:spacing w:before="468" w:after="312"/>
        <w:ind w:firstLine="403"/>
        <w:jc w:val="both"/>
      </w:pPr>
    </w:p>
    <w:p>
      <w:pPr>
        <w:pStyle w:val="2"/>
        <w:spacing w:before="468" w:after="312"/>
        <w:ind w:firstLine="403"/>
        <w:jc w:val="both"/>
      </w:pPr>
    </w:p>
    <w:p>
      <w:pPr>
        <w:pStyle w:val="2"/>
        <w:spacing w:before="468" w:after="312"/>
        <w:ind w:firstLine="403"/>
        <w:jc w:val="both"/>
      </w:pPr>
    </w:p>
    <w:p>
      <w:pPr>
        <w:pStyle w:val="2"/>
        <w:spacing w:before="468" w:after="312"/>
        <w:ind w:firstLine="403"/>
        <w:jc w:val="both"/>
      </w:pPr>
    </w:p>
    <w:p>
      <w:pPr>
        <w:pStyle w:val="7"/>
        <w:ind w:left="0" w:leftChars="0"/>
        <w:jc w:val="center"/>
        <w:outlineLvl w:val="0"/>
        <w:rPr>
          <w:rFonts w:eastAsia="黑体"/>
          <w:sz w:val="36"/>
          <w:szCs w:val="36"/>
        </w:rPr>
      </w:pPr>
      <w:r>
        <w:rPr>
          <w:rFonts w:eastAsia="黑体"/>
          <w:sz w:val="36"/>
          <w:szCs w:val="36"/>
        </w:rPr>
        <w:t>伊吾县</w:t>
      </w:r>
      <w:bookmarkEnd w:id="4"/>
      <w:bookmarkEnd w:id="5"/>
      <w:bookmarkEnd w:id="6"/>
      <w:bookmarkEnd w:id="7"/>
      <w:bookmarkEnd w:id="8"/>
      <w:r>
        <w:rPr>
          <w:rFonts w:eastAsia="黑体"/>
          <w:sz w:val="36"/>
          <w:szCs w:val="36"/>
        </w:rPr>
        <w:t>人民政府</w:t>
      </w:r>
    </w:p>
    <w:bookmarkEnd w:id="9"/>
    <w:bookmarkEnd w:id="10"/>
    <w:bookmarkEnd w:id="11"/>
    <w:bookmarkEnd w:id="12"/>
    <w:p>
      <w:pPr>
        <w:widowControl w:val="0"/>
        <w:spacing w:line="360" w:lineRule="auto"/>
        <w:jc w:val="center"/>
        <w:rPr>
          <w:rFonts w:eastAsia="黑体"/>
          <w:b/>
          <w:sz w:val="36"/>
          <w:szCs w:val="40"/>
        </w:rPr>
      </w:pPr>
      <w:r>
        <w:rPr>
          <w:rFonts w:eastAsia="黑体"/>
          <w:b/>
          <w:sz w:val="36"/>
          <w:szCs w:val="40"/>
        </w:rPr>
        <w:t>二〇二三年十二月</w:t>
      </w:r>
      <w:bookmarkStart w:id="13" w:name="_Toc263111659"/>
      <w:bookmarkStart w:id="14" w:name="_Toc263688467"/>
    </w:p>
    <w:p>
      <w:pPr>
        <w:rPr>
          <w:rFonts w:eastAsia="黑体"/>
          <w:b/>
          <w:sz w:val="36"/>
          <w:szCs w:val="40"/>
        </w:rPr>
      </w:pPr>
      <w:r>
        <w:rPr>
          <w:rFonts w:eastAsia="黑体"/>
          <w:b/>
          <w:sz w:val="36"/>
          <w:szCs w:val="40"/>
        </w:rPr>
        <w:br w:type="page"/>
      </w:r>
    </w:p>
    <w:p>
      <w:pPr>
        <w:pStyle w:val="2"/>
      </w:pPr>
      <w:bookmarkStart w:id="158" w:name="_GoBack"/>
      <w:bookmarkEnd w:id="158"/>
    </w:p>
    <w:bookmarkEnd w:id="13"/>
    <w:bookmarkEnd w:id="14"/>
    <w:p/>
    <w:p>
      <w:pPr>
        <w:pStyle w:val="4"/>
        <w:sectPr>
          <w:headerReference r:id="rId3" w:type="default"/>
          <w:pgSz w:w="11906" w:h="16838"/>
          <w:pgMar w:top="1440" w:right="1800" w:bottom="1440" w:left="1800" w:header="851" w:footer="992" w:gutter="0"/>
          <w:cols w:space="425" w:num="1"/>
          <w:docGrid w:type="lines" w:linePitch="312" w:charSpace="0"/>
        </w:sectPr>
      </w:pPr>
    </w:p>
    <w:sdt>
      <w:sdtPr>
        <w:rPr>
          <w:szCs w:val="24"/>
        </w:rPr>
        <w:id w:val="147470895"/>
        <w15:color w:val="DBDBDB"/>
        <w:docPartObj>
          <w:docPartGallery w:val="Table of Contents"/>
          <w:docPartUnique/>
        </w:docPartObj>
      </w:sdtPr>
      <w:sdtEndPr>
        <w:rPr>
          <w:szCs w:val="24"/>
        </w:rPr>
      </w:sdtEndPr>
      <w:sdtContent>
        <w:p>
          <w:pPr>
            <w:jc w:val="center"/>
            <w:rPr>
              <w:b/>
              <w:bCs/>
              <w:sz w:val="28"/>
              <w:szCs w:val="28"/>
            </w:rPr>
          </w:pPr>
          <w:bookmarkStart w:id="15" w:name="_Hlk154499731"/>
          <w:r>
            <w:rPr>
              <w:rFonts w:eastAsia="黑体"/>
              <w:sz w:val="32"/>
              <w:szCs w:val="32"/>
            </w:rPr>
            <w:t>目  录</w:t>
          </w:r>
          <w:r>
            <w:fldChar w:fldCharType="begin"/>
          </w:r>
          <w:r>
            <w:instrText xml:space="preserve">TOC \o "1-1" \t "标题 2,1,标题 3,3" \h \u </w:instrText>
          </w:r>
          <w:r>
            <w:fldChar w:fldCharType="separate"/>
          </w:r>
        </w:p>
        <w:p>
          <w:pPr>
            <w:pStyle w:val="16"/>
            <w:tabs>
              <w:tab w:val="right" w:leader="dot" w:pos="8306"/>
            </w:tabs>
            <w:spacing w:line="360" w:lineRule="auto"/>
            <w:rPr>
              <w:rFonts w:eastAsia="楷体"/>
              <w:b/>
              <w:bCs/>
              <w:sz w:val="28"/>
              <w:szCs w:val="28"/>
            </w:rPr>
          </w:pPr>
          <w:r>
            <w:fldChar w:fldCharType="begin"/>
          </w:r>
          <w:r>
            <w:instrText xml:space="preserve"> HYPERLINK \l "_Toc29882" </w:instrText>
          </w:r>
          <w:r>
            <w:fldChar w:fldCharType="separate"/>
          </w:r>
          <w:r>
            <w:rPr>
              <w:rFonts w:eastAsia="楷体"/>
              <w:b/>
              <w:bCs/>
              <w:sz w:val="28"/>
              <w:szCs w:val="28"/>
            </w:rPr>
            <w:t>第一章 总论</w:t>
          </w:r>
          <w:r>
            <w:rPr>
              <w:rFonts w:eastAsia="楷体"/>
              <w:b/>
              <w:bCs/>
              <w:sz w:val="28"/>
              <w:szCs w:val="28"/>
            </w:rPr>
            <w:tab/>
          </w:r>
          <w:r>
            <w:rPr>
              <w:rFonts w:eastAsia="楷体"/>
              <w:b/>
              <w:bCs/>
              <w:sz w:val="28"/>
              <w:szCs w:val="28"/>
            </w:rPr>
            <w:fldChar w:fldCharType="begin"/>
          </w:r>
          <w:r>
            <w:rPr>
              <w:rFonts w:eastAsia="楷体"/>
              <w:b/>
              <w:bCs/>
              <w:sz w:val="28"/>
              <w:szCs w:val="28"/>
            </w:rPr>
            <w:instrText xml:space="preserve"> PAGEREF _Toc29882 \h </w:instrText>
          </w:r>
          <w:r>
            <w:rPr>
              <w:rFonts w:eastAsia="楷体"/>
              <w:b/>
              <w:bCs/>
              <w:sz w:val="28"/>
              <w:szCs w:val="28"/>
            </w:rPr>
            <w:fldChar w:fldCharType="separate"/>
          </w:r>
          <w:r>
            <w:rPr>
              <w:rFonts w:eastAsia="楷体"/>
              <w:b/>
              <w:bCs/>
              <w:sz w:val="28"/>
              <w:szCs w:val="28"/>
            </w:rPr>
            <w:t>1</w:t>
          </w:r>
          <w:r>
            <w:rPr>
              <w:rFonts w:eastAsia="楷体"/>
              <w:b/>
              <w:bCs/>
              <w:sz w:val="28"/>
              <w:szCs w:val="28"/>
            </w:rPr>
            <w:fldChar w:fldCharType="end"/>
          </w:r>
          <w:r>
            <w:rPr>
              <w:rFonts w:eastAsia="楷体"/>
              <w:b/>
              <w:bCs/>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"_Toc11625" </w:instrText>
          </w:r>
          <w:r>
            <w:fldChar w:fldCharType="separate"/>
          </w:r>
          <w:r>
            <w:rPr>
              <w:rFonts w:eastAsia="楷体"/>
              <w:sz w:val="28"/>
              <w:szCs w:val="28"/>
            </w:rPr>
            <w:t>（一） 规划背景</w:t>
          </w:r>
          <w:r>
            <w:rPr>
              <w:rFonts w:eastAsia="楷体"/>
              <w:sz w:val="28"/>
              <w:szCs w:val="28"/>
            </w:rPr>
            <w:tab/>
          </w:r>
          <w:r>
            <w:rPr>
              <w:rFonts w:eastAsia="楷体"/>
              <w:sz w:val="28"/>
              <w:szCs w:val="28"/>
            </w:rPr>
            <w:fldChar w:fldCharType="begin"/>
          </w:r>
          <w:r>
            <w:rPr>
              <w:rFonts w:eastAsia="楷体"/>
              <w:sz w:val="28"/>
              <w:szCs w:val="28"/>
            </w:rPr>
            <w:instrText xml:space="preserve"> PAGEREF _Toc11625 \h </w:instrText>
          </w:r>
          <w:r>
            <w:rPr>
              <w:rFonts w:eastAsia="楷体"/>
              <w:sz w:val="28"/>
              <w:szCs w:val="28"/>
            </w:rPr>
            <w:fldChar w:fldCharType="separate"/>
          </w:r>
          <w:r>
            <w:rPr>
              <w:rFonts w:eastAsia="楷体"/>
              <w:sz w:val="28"/>
              <w:szCs w:val="28"/>
            </w:rPr>
            <w:t>1</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"_Toc32103" </w:instrText>
          </w:r>
          <w:r>
            <w:fldChar w:fldCharType="separate"/>
          </w:r>
          <w:r>
            <w:rPr>
              <w:rFonts w:eastAsia="楷体"/>
              <w:sz w:val="28"/>
              <w:szCs w:val="28"/>
            </w:rPr>
            <w:t>（二） 工作现状</w:t>
          </w:r>
          <w:r>
            <w:rPr>
              <w:rFonts w:eastAsia="楷体"/>
              <w:sz w:val="28"/>
              <w:szCs w:val="28"/>
            </w:rPr>
            <w:tab/>
          </w:r>
          <w:r>
            <w:rPr>
              <w:rFonts w:eastAsia="楷体"/>
              <w:sz w:val="28"/>
              <w:szCs w:val="28"/>
            </w:rPr>
            <w:fldChar w:fldCharType="begin"/>
          </w:r>
          <w:r>
            <w:rPr>
              <w:rFonts w:eastAsia="楷体"/>
              <w:sz w:val="28"/>
              <w:szCs w:val="28"/>
            </w:rPr>
            <w:instrText xml:space="preserve"> PAGEREF _Toc32103 \h </w:instrText>
          </w:r>
          <w:r>
            <w:rPr>
              <w:rFonts w:eastAsia="楷体"/>
              <w:sz w:val="28"/>
              <w:szCs w:val="28"/>
            </w:rPr>
            <w:fldChar w:fldCharType="separate"/>
          </w:r>
          <w:r>
            <w:rPr>
              <w:rFonts w:eastAsia="楷体"/>
              <w:sz w:val="28"/>
              <w:szCs w:val="28"/>
            </w:rPr>
            <w:t>2</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"_Toc3764" </w:instrText>
          </w:r>
          <w:r>
            <w:fldChar w:fldCharType="separate"/>
          </w:r>
          <w:r>
            <w:rPr>
              <w:rFonts w:eastAsia="楷体"/>
              <w:sz w:val="28"/>
              <w:szCs w:val="28"/>
            </w:rPr>
            <w:t>（三） 重点工作成效</w:t>
          </w:r>
          <w:r>
            <w:rPr>
              <w:rFonts w:eastAsia="楷体"/>
              <w:sz w:val="28"/>
              <w:szCs w:val="28"/>
            </w:rPr>
            <w:tab/>
          </w:r>
          <w:r>
            <w:rPr>
              <w:rFonts w:eastAsia="楷体"/>
              <w:sz w:val="28"/>
              <w:szCs w:val="28"/>
            </w:rPr>
            <w:fldChar w:fldCharType="begin"/>
          </w:r>
          <w:r>
            <w:rPr>
              <w:rFonts w:eastAsia="楷体"/>
              <w:sz w:val="28"/>
              <w:szCs w:val="28"/>
            </w:rPr>
            <w:instrText xml:space="preserve"> PAGEREF _Toc3764 \h </w:instrText>
          </w:r>
          <w:r>
            <w:rPr>
              <w:rFonts w:eastAsia="楷体"/>
              <w:sz w:val="28"/>
              <w:szCs w:val="28"/>
            </w:rPr>
            <w:fldChar w:fldCharType="separate"/>
          </w:r>
          <w:r>
            <w:rPr>
              <w:rFonts w:eastAsia="楷体"/>
              <w:sz w:val="28"/>
              <w:szCs w:val="28"/>
            </w:rPr>
            <w:t>4</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"_Toc6404" </w:instrText>
          </w:r>
          <w:r>
            <w:fldChar w:fldCharType="separate"/>
          </w:r>
          <w:r>
            <w:rPr>
              <w:rFonts w:eastAsia="楷体"/>
              <w:sz w:val="28"/>
              <w:szCs w:val="28"/>
            </w:rPr>
            <w:t>（四） 当前存在的问题</w:t>
          </w:r>
          <w:r>
            <w:rPr>
              <w:rFonts w:eastAsia="楷体"/>
              <w:sz w:val="28"/>
              <w:szCs w:val="28"/>
            </w:rPr>
            <w:tab/>
          </w:r>
          <w:r>
            <w:rPr>
              <w:rFonts w:eastAsia="楷体"/>
              <w:sz w:val="28"/>
              <w:szCs w:val="28"/>
            </w:rPr>
            <w:fldChar w:fldCharType="begin"/>
          </w:r>
          <w:r>
            <w:rPr>
              <w:rFonts w:eastAsia="楷体"/>
              <w:sz w:val="28"/>
              <w:szCs w:val="28"/>
            </w:rPr>
            <w:instrText xml:space="preserve"> PAGEREF _Toc6404 \h </w:instrText>
          </w:r>
          <w:r>
            <w:rPr>
              <w:rFonts w:eastAsia="楷体"/>
              <w:sz w:val="28"/>
              <w:szCs w:val="28"/>
            </w:rPr>
            <w:fldChar w:fldCharType="separate"/>
          </w:r>
          <w:r>
            <w:rPr>
              <w:rFonts w:eastAsia="楷体"/>
              <w:sz w:val="28"/>
              <w:szCs w:val="28"/>
            </w:rPr>
            <w:t>5</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"_Toc29764" </w:instrText>
          </w:r>
          <w:r>
            <w:fldChar w:fldCharType="separate"/>
          </w:r>
          <w:r>
            <w:rPr>
              <w:rFonts w:eastAsia="楷体"/>
              <w:sz w:val="28"/>
              <w:szCs w:val="28"/>
              <w:lang w:val="zh-CN"/>
            </w:rPr>
            <w:t xml:space="preserve">（五） </w:t>
          </w:r>
          <w:r>
            <w:rPr>
              <w:rFonts w:eastAsia="楷体"/>
              <w:sz w:val="28"/>
              <w:szCs w:val="28"/>
            </w:rPr>
            <w:t>形势</w:t>
          </w:r>
          <w:r>
            <w:rPr>
              <w:rFonts w:eastAsia="楷体"/>
              <w:sz w:val="28"/>
              <w:szCs w:val="28"/>
              <w:lang w:val="zh-CN"/>
            </w:rPr>
            <w:t>与</w:t>
          </w:r>
          <w:r>
            <w:rPr>
              <w:rFonts w:eastAsia="楷体"/>
              <w:sz w:val="28"/>
              <w:szCs w:val="28"/>
            </w:rPr>
            <w:t>机遇</w:t>
          </w:r>
          <w:r>
            <w:rPr>
              <w:rFonts w:eastAsia="楷体"/>
              <w:sz w:val="28"/>
              <w:szCs w:val="28"/>
            </w:rPr>
            <w:tab/>
          </w:r>
          <w:r>
            <w:rPr>
              <w:rFonts w:eastAsia="楷体"/>
              <w:sz w:val="28"/>
              <w:szCs w:val="28"/>
            </w:rPr>
            <w:fldChar w:fldCharType="begin"/>
          </w:r>
          <w:r>
            <w:rPr>
              <w:rFonts w:eastAsia="楷体"/>
              <w:sz w:val="28"/>
              <w:szCs w:val="28"/>
            </w:rPr>
            <w:instrText xml:space="preserve"> PAGEREF _Toc29764 \h </w:instrText>
          </w:r>
          <w:r>
            <w:rPr>
              <w:rFonts w:eastAsia="楷体"/>
              <w:sz w:val="28"/>
              <w:szCs w:val="28"/>
            </w:rPr>
            <w:fldChar w:fldCharType="separate"/>
          </w:r>
          <w:r>
            <w:rPr>
              <w:rFonts w:eastAsia="楷体"/>
              <w:sz w:val="28"/>
              <w:szCs w:val="28"/>
            </w:rPr>
            <w:t>7</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rPr>
              <w:rFonts w:eastAsia="楷体"/>
              <w:b/>
              <w:bCs/>
              <w:sz w:val="28"/>
              <w:szCs w:val="28"/>
            </w:rPr>
          </w:pPr>
          <w:r>
            <w:fldChar w:fldCharType="begin"/>
          </w:r>
          <w:r>
            <w:instrText xml:space="preserve"> HYPERLINK \l "_Toc8672" </w:instrText>
          </w:r>
          <w:r>
            <w:fldChar w:fldCharType="separate"/>
          </w:r>
          <w:r>
            <w:rPr>
              <w:rFonts w:eastAsia="楷体"/>
              <w:b/>
              <w:bCs/>
              <w:sz w:val="28"/>
              <w:szCs w:val="28"/>
            </w:rPr>
            <w:t>第二章 总体要求</w:t>
          </w:r>
          <w:r>
            <w:rPr>
              <w:rFonts w:eastAsia="楷体"/>
              <w:b/>
              <w:bCs/>
              <w:sz w:val="28"/>
              <w:szCs w:val="28"/>
            </w:rPr>
            <w:tab/>
          </w:r>
          <w:r>
            <w:rPr>
              <w:rFonts w:eastAsia="楷体"/>
              <w:b/>
              <w:bCs/>
              <w:sz w:val="28"/>
              <w:szCs w:val="28"/>
            </w:rPr>
            <w:fldChar w:fldCharType="begin"/>
          </w:r>
          <w:r>
            <w:rPr>
              <w:rFonts w:eastAsia="楷体"/>
              <w:b/>
              <w:bCs/>
              <w:sz w:val="28"/>
              <w:szCs w:val="28"/>
            </w:rPr>
            <w:instrText xml:space="preserve"> PAGEREF _Toc8672 \h </w:instrText>
          </w:r>
          <w:r>
            <w:rPr>
              <w:rFonts w:eastAsia="楷体"/>
              <w:b/>
              <w:bCs/>
              <w:sz w:val="28"/>
              <w:szCs w:val="28"/>
            </w:rPr>
            <w:fldChar w:fldCharType="separate"/>
          </w:r>
          <w:r>
            <w:rPr>
              <w:rFonts w:eastAsia="楷体"/>
              <w:b/>
              <w:bCs/>
              <w:sz w:val="28"/>
              <w:szCs w:val="28"/>
            </w:rPr>
            <w:t>9</w:t>
          </w:r>
          <w:r>
            <w:rPr>
              <w:rFonts w:eastAsia="楷体"/>
              <w:b/>
              <w:bCs/>
              <w:sz w:val="28"/>
              <w:szCs w:val="28"/>
            </w:rPr>
            <w:fldChar w:fldCharType="end"/>
          </w:r>
          <w:r>
            <w:rPr>
              <w:rFonts w:eastAsia="楷体"/>
              <w:b/>
              <w:bCs/>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"_Toc17204" </w:instrText>
          </w:r>
          <w:r>
            <w:fldChar w:fldCharType="separate"/>
          </w:r>
          <w:r>
            <w:rPr>
              <w:rFonts w:eastAsia="楷体"/>
              <w:sz w:val="28"/>
              <w:szCs w:val="28"/>
            </w:rPr>
            <w:t>（一） 指导思想</w:t>
          </w:r>
          <w:r>
            <w:rPr>
              <w:rFonts w:eastAsia="楷体"/>
              <w:sz w:val="28"/>
              <w:szCs w:val="28"/>
            </w:rPr>
            <w:tab/>
          </w:r>
          <w:r>
            <w:rPr>
              <w:rFonts w:eastAsia="楷体"/>
              <w:sz w:val="28"/>
              <w:szCs w:val="28"/>
            </w:rPr>
            <w:fldChar w:fldCharType="begin"/>
          </w:r>
          <w:r>
            <w:rPr>
              <w:rFonts w:eastAsia="楷体"/>
              <w:sz w:val="28"/>
              <w:szCs w:val="28"/>
            </w:rPr>
            <w:instrText xml:space="preserve"> PAGEREF _Toc17204 \h </w:instrText>
          </w:r>
          <w:r>
            <w:rPr>
              <w:rFonts w:eastAsia="楷体"/>
              <w:sz w:val="28"/>
              <w:szCs w:val="28"/>
            </w:rPr>
            <w:fldChar w:fldCharType="separate"/>
          </w:r>
          <w:r>
            <w:rPr>
              <w:rFonts w:eastAsia="楷体"/>
              <w:sz w:val="28"/>
              <w:szCs w:val="28"/>
            </w:rPr>
            <w:t>9</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"_Toc29617" </w:instrText>
          </w:r>
          <w:r>
            <w:fldChar w:fldCharType="separate"/>
          </w:r>
          <w:r>
            <w:rPr>
              <w:rFonts w:eastAsia="楷体"/>
              <w:sz w:val="28"/>
              <w:szCs w:val="28"/>
            </w:rPr>
            <w:t>（二） 基本原则</w:t>
          </w:r>
          <w:r>
            <w:rPr>
              <w:rFonts w:eastAsia="楷体"/>
              <w:sz w:val="28"/>
              <w:szCs w:val="28"/>
            </w:rPr>
            <w:tab/>
          </w:r>
          <w:r>
            <w:rPr>
              <w:rFonts w:eastAsia="楷体"/>
              <w:sz w:val="28"/>
              <w:szCs w:val="28"/>
            </w:rPr>
            <w:fldChar w:fldCharType="begin"/>
          </w:r>
          <w:r>
            <w:rPr>
              <w:rFonts w:eastAsia="楷体"/>
              <w:sz w:val="28"/>
              <w:szCs w:val="28"/>
            </w:rPr>
            <w:instrText xml:space="preserve"> PAGEREF _Toc29617 \h </w:instrText>
          </w:r>
          <w:r>
            <w:rPr>
              <w:rFonts w:eastAsia="楷体"/>
              <w:sz w:val="28"/>
              <w:szCs w:val="28"/>
            </w:rPr>
            <w:fldChar w:fldCharType="separate"/>
          </w:r>
          <w:r>
            <w:rPr>
              <w:rFonts w:eastAsia="楷体"/>
              <w:sz w:val="28"/>
              <w:szCs w:val="28"/>
            </w:rPr>
            <w:t>9</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"_Toc22676" </w:instrText>
          </w:r>
          <w:r>
            <w:fldChar w:fldCharType="separate"/>
          </w:r>
          <w:r>
            <w:rPr>
              <w:rFonts w:eastAsia="楷体"/>
              <w:sz w:val="28"/>
              <w:szCs w:val="28"/>
            </w:rPr>
            <w:t>（三） 主要目标</w:t>
          </w:r>
          <w:r>
            <w:rPr>
              <w:rFonts w:eastAsia="楷体"/>
              <w:sz w:val="28"/>
              <w:szCs w:val="28"/>
            </w:rPr>
            <w:tab/>
          </w:r>
          <w:r>
            <w:rPr>
              <w:rFonts w:eastAsia="楷体"/>
              <w:sz w:val="28"/>
              <w:szCs w:val="28"/>
            </w:rPr>
            <w:fldChar w:fldCharType="begin"/>
          </w:r>
          <w:r>
            <w:rPr>
              <w:rFonts w:eastAsia="楷体"/>
              <w:sz w:val="28"/>
              <w:szCs w:val="28"/>
            </w:rPr>
            <w:instrText xml:space="preserve"> PAGEREF _Toc22676 \h </w:instrText>
          </w:r>
          <w:r>
            <w:rPr>
              <w:rFonts w:eastAsia="楷体"/>
              <w:sz w:val="28"/>
              <w:szCs w:val="28"/>
            </w:rPr>
            <w:fldChar w:fldCharType="separate"/>
          </w:r>
          <w:r>
            <w:rPr>
              <w:rFonts w:eastAsia="楷体"/>
              <w:sz w:val="28"/>
              <w:szCs w:val="28"/>
            </w:rPr>
            <w:t>10</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rPr>
              <w:rFonts w:eastAsia="楷体"/>
              <w:b/>
              <w:bCs/>
              <w:sz w:val="28"/>
              <w:szCs w:val="28"/>
            </w:rPr>
          </w:pPr>
          <w:r>
            <w:fldChar w:fldCharType="begin"/>
          </w:r>
          <w:r>
            <w:instrText xml:space="preserve"> HYPERLINK \l "_Toc8458" </w:instrText>
          </w:r>
          <w:r>
            <w:fldChar w:fldCharType="separate"/>
          </w:r>
          <w:r>
            <w:rPr>
              <w:rFonts w:eastAsia="楷体"/>
              <w:b/>
              <w:bCs/>
              <w:sz w:val="28"/>
              <w:szCs w:val="28"/>
            </w:rPr>
            <w:t>第三章 重点任务</w:t>
          </w:r>
          <w:r>
            <w:rPr>
              <w:rFonts w:eastAsia="楷体"/>
              <w:b/>
              <w:bCs/>
              <w:sz w:val="28"/>
              <w:szCs w:val="28"/>
            </w:rPr>
            <w:tab/>
          </w:r>
          <w:r>
            <w:rPr>
              <w:rFonts w:eastAsia="楷体"/>
              <w:b/>
              <w:bCs/>
              <w:sz w:val="28"/>
              <w:szCs w:val="28"/>
            </w:rPr>
            <w:fldChar w:fldCharType="begin"/>
          </w:r>
          <w:r>
            <w:rPr>
              <w:rFonts w:eastAsia="楷体"/>
              <w:b/>
              <w:bCs/>
              <w:sz w:val="28"/>
              <w:szCs w:val="28"/>
            </w:rPr>
            <w:instrText xml:space="preserve"> PAGEREF _Toc8458 \h </w:instrText>
          </w:r>
          <w:r>
            <w:rPr>
              <w:rFonts w:eastAsia="楷体"/>
              <w:b/>
              <w:bCs/>
              <w:sz w:val="28"/>
              <w:szCs w:val="28"/>
            </w:rPr>
            <w:fldChar w:fldCharType="separate"/>
          </w:r>
          <w:r>
            <w:rPr>
              <w:rFonts w:eastAsia="楷体"/>
              <w:b/>
              <w:bCs/>
              <w:sz w:val="28"/>
              <w:szCs w:val="28"/>
            </w:rPr>
            <w:t>12</w:t>
          </w:r>
          <w:r>
            <w:rPr>
              <w:rFonts w:eastAsia="楷体"/>
              <w:b/>
              <w:bCs/>
              <w:sz w:val="28"/>
              <w:szCs w:val="28"/>
            </w:rPr>
            <w:fldChar w:fldCharType="end"/>
          </w:r>
          <w:r>
            <w:rPr>
              <w:rFonts w:eastAsia="楷体"/>
              <w:b/>
              <w:bCs/>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"_Toc28650" </w:instrText>
          </w:r>
          <w:r>
            <w:fldChar w:fldCharType="separate"/>
          </w:r>
          <w:r>
            <w:rPr>
              <w:rFonts w:eastAsia="楷体"/>
              <w:sz w:val="28"/>
              <w:szCs w:val="28"/>
            </w:rPr>
            <w:t>（一） 一般工业固体废物任务措施</w:t>
          </w:r>
          <w:r>
            <w:rPr>
              <w:rFonts w:eastAsia="楷体"/>
              <w:sz w:val="28"/>
              <w:szCs w:val="28"/>
            </w:rPr>
            <w:tab/>
          </w:r>
          <w:r>
            <w:rPr>
              <w:rFonts w:eastAsia="楷体"/>
              <w:sz w:val="28"/>
              <w:szCs w:val="28"/>
            </w:rPr>
            <w:fldChar w:fldCharType="begin"/>
          </w:r>
          <w:r>
            <w:rPr>
              <w:rFonts w:eastAsia="楷体"/>
              <w:sz w:val="28"/>
              <w:szCs w:val="28"/>
            </w:rPr>
            <w:instrText xml:space="preserve"> PAGEREF _Toc28650 \h </w:instrText>
          </w:r>
          <w:r>
            <w:rPr>
              <w:rFonts w:eastAsia="楷体"/>
              <w:sz w:val="28"/>
              <w:szCs w:val="28"/>
            </w:rPr>
            <w:fldChar w:fldCharType="separate"/>
          </w:r>
          <w:r>
            <w:rPr>
              <w:rFonts w:eastAsia="楷体"/>
              <w:sz w:val="28"/>
              <w:szCs w:val="28"/>
            </w:rPr>
            <w:t>12</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"_Toc25461" </w:instrText>
          </w:r>
          <w:r>
            <w:fldChar w:fldCharType="separate"/>
          </w:r>
          <w:r>
            <w:rPr>
              <w:rFonts w:eastAsia="楷体"/>
              <w:sz w:val="28"/>
              <w:szCs w:val="28"/>
            </w:rPr>
            <w:t>1.重视数据统计，建立管理清单</w:t>
          </w:r>
          <w:r>
            <w:rPr>
              <w:rFonts w:eastAsia="楷体"/>
              <w:sz w:val="28"/>
              <w:szCs w:val="28"/>
            </w:rPr>
            <w:tab/>
          </w:r>
          <w:r>
            <w:rPr>
              <w:rFonts w:eastAsia="楷体"/>
              <w:sz w:val="28"/>
              <w:szCs w:val="28"/>
            </w:rPr>
            <w:fldChar w:fldCharType="begin"/>
          </w:r>
          <w:r>
            <w:rPr>
              <w:rFonts w:eastAsia="楷体"/>
              <w:sz w:val="28"/>
              <w:szCs w:val="28"/>
            </w:rPr>
            <w:instrText xml:space="preserve"> PAGEREF _Toc25461 \h </w:instrText>
          </w:r>
          <w:r>
            <w:rPr>
              <w:rFonts w:eastAsia="楷体"/>
              <w:sz w:val="28"/>
              <w:szCs w:val="28"/>
            </w:rPr>
            <w:fldChar w:fldCharType="separate"/>
          </w:r>
          <w:r>
            <w:rPr>
              <w:rFonts w:eastAsia="楷体"/>
              <w:sz w:val="28"/>
              <w:szCs w:val="28"/>
            </w:rPr>
            <w:t>12</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"_Toc7553" </w:instrText>
          </w:r>
          <w:r>
            <w:fldChar w:fldCharType="separate"/>
          </w:r>
          <w:r>
            <w:rPr>
              <w:rFonts w:eastAsia="楷体"/>
              <w:bCs/>
              <w:sz w:val="28"/>
              <w:szCs w:val="28"/>
            </w:rPr>
            <w:t>2.加强一般工业固体废物领域源头减量</w:t>
          </w:r>
          <w:r>
            <w:rPr>
              <w:rFonts w:eastAsia="楷体"/>
              <w:sz w:val="28"/>
              <w:szCs w:val="28"/>
            </w:rPr>
            <w:tab/>
          </w:r>
          <w:r>
            <w:rPr>
              <w:rFonts w:eastAsia="楷体"/>
              <w:sz w:val="28"/>
              <w:szCs w:val="28"/>
            </w:rPr>
            <w:fldChar w:fldCharType="begin"/>
          </w:r>
          <w:r>
            <w:rPr>
              <w:rFonts w:eastAsia="楷体"/>
              <w:sz w:val="28"/>
              <w:szCs w:val="28"/>
            </w:rPr>
            <w:instrText xml:space="preserve"> PAGEREF _Toc7553 \h </w:instrText>
          </w:r>
          <w:r>
            <w:rPr>
              <w:rFonts w:eastAsia="楷体"/>
              <w:sz w:val="28"/>
              <w:szCs w:val="28"/>
            </w:rPr>
            <w:fldChar w:fldCharType="separate"/>
          </w:r>
          <w:r>
            <w:rPr>
              <w:rFonts w:eastAsia="楷体"/>
              <w:sz w:val="28"/>
              <w:szCs w:val="28"/>
            </w:rPr>
            <w:t>13</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"_Toc20933" </w:instrText>
          </w:r>
          <w:r>
            <w:fldChar w:fldCharType="separate"/>
          </w:r>
          <w:r>
            <w:rPr>
              <w:rFonts w:eastAsia="楷体"/>
              <w:bCs/>
              <w:sz w:val="28"/>
              <w:szCs w:val="28"/>
            </w:rPr>
            <w:t>3.健全一般工业固废收贮运体系</w:t>
          </w:r>
          <w:r>
            <w:rPr>
              <w:rFonts w:eastAsia="楷体"/>
              <w:sz w:val="28"/>
              <w:szCs w:val="28"/>
            </w:rPr>
            <w:tab/>
          </w:r>
          <w:r>
            <w:rPr>
              <w:rFonts w:eastAsia="楷体"/>
              <w:sz w:val="28"/>
              <w:szCs w:val="28"/>
            </w:rPr>
            <w:fldChar w:fldCharType="begin"/>
          </w:r>
          <w:r>
            <w:rPr>
              <w:rFonts w:eastAsia="楷体"/>
              <w:sz w:val="28"/>
              <w:szCs w:val="28"/>
            </w:rPr>
            <w:instrText xml:space="preserve"> PAGEREF _Toc20933 \h </w:instrText>
          </w:r>
          <w:r>
            <w:rPr>
              <w:rFonts w:eastAsia="楷体"/>
              <w:sz w:val="28"/>
              <w:szCs w:val="28"/>
            </w:rPr>
            <w:fldChar w:fldCharType="separate"/>
          </w:r>
          <w:r>
            <w:rPr>
              <w:rFonts w:eastAsia="楷体"/>
              <w:sz w:val="28"/>
              <w:szCs w:val="28"/>
            </w:rPr>
            <w:t>14</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"_Toc27760" </w:instrText>
          </w:r>
          <w:r>
            <w:fldChar w:fldCharType="separate"/>
          </w:r>
          <w:r>
            <w:rPr>
              <w:rFonts w:eastAsia="楷体"/>
              <w:bCs/>
              <w:sz w:val="28"/>
              <w:szCs w:val="28"/>
            </w:rPr>
            <w:t>4.提升一般工业固废利用能力</w:t>
          </w:r>
          <w:r>
            <w:rPr>
              <w:rFonts w:eastAsia="楷体"/>
              <w:sz w:val="28"/>
              <w:szCs w:val="28"/>
            </w:rPr>
            <w:tab/>
          </w:r>
          <w:r>
            <w:rPr>
              <w:rFonts w:eastAsia="楷体"/>
              <w:sz w:val="28"/>
              <w:szCs w:val="28"/>
            </w:rPr>
            <w:fldChar w:fldCharType="begin"/>
          </w:r>
          <w:r>
            <w:rPr>
              <w:rFonts w:eastAsia="楷体"/>
              <w:sz w:val="28"/>
              <w:szCs w:val="28"/>
            </w:rPr>
            <w:instrText xml:space="preserve"> PAGEREF _Toc27760 \h </w:instrText>
          </w:r>
          <w:r>
            <w:rPr>
              <w:rFonts w:eastAsia="楷体"/>
              <w:sz w:val="28"/>
              <w:szCs w:val="28"/>
            </w:rPr>
            <w:fldChar w:fldCharType="separate"/>
          </w:r>
          <w:r>
            <w:rPr>
              <w:rFonts w:eastAsia="楷体"/>
              <w:sz w:val="28"/>
              <w:szCs w:val="28"/>
            </w:rPr>
            <w:t>14</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"_Toc6648" </w:instrText>
          </w:r>
          <w:r>
            <w:fldChar w:fldCharType="separate"/>
          </w:r>
          <w:r>
            <w:rPr>
              <w:rFonts w:eastAsia="楷体"/>
              <w:sz w:val="28"/>
              <w:szCs w:val="28"/>
            </w:rPr>
            <w:t>5.完善一般工业固体废物监管制度体系</w:t>
          </w:r>
          <w:r>
            <w:rPr>
              <w:rFonts w:eastAsia="楷体"/>
              <w:sz w:val="28"/>
              <w:szCs w:val="28"/>
            </w:rPr>
            <w:tab/>
          </w:r>
          <w:r>
            <w:rPr>
              <w:rFonts w:eastAsia="楷体"/>
              <w:sz w:val="28"/>
              <w:szCs w:val="28"/>
            </w:rPr>
            <w:fldChar w:fldCharType="begin"/>
          </w:r>
          <w:r>
            <w:rPr>
              <w:rFonts w:eastAsia="楷体"/>
              <w:sz w:val="28"/>
              <w:szCs w:val="28"/>
            </w:rPr>
            <w:instrText xml:space="preserve"> PAGEREF _Toc6648 \h </w:instrText>
          </w:r>
          <w:r>
            <w:rPr>
              <w:rFonts w:eastAsia="楷体"/>
              <w:sz w:val="28"/>
              <w:szCs w:val="28"/>
            </w:rPr>
            <w:fldChar w:fldCharType="separate"/>
          </w:r>
          <w:r>
            <w:rPr>
              <w:rFonts w:eastAsia="楷体"/>
              <w:sz w:val="28"/>
              <w:szCs w:val="28"/>
            </w:rPr>
            <w:t>15</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"_Toc27897" </w:instrText>
          </w:r>
          <w:r>
            <w:fldChar w:fldCharType="separate"/>
          </w:r>
          <w:r>
            <w:rPr>
              <w:rFonts w:eastAsia="楷体"/>
              <w:sz w:val="28"/>
              <w:szCs w:val="28"/>
            </w:rPr>
            <w:t>（二） 危险废物任务措施</w:t>
          </w:r>
          <w:r>
            <w:rPr>
              <w:rFonts w:eastAsia="楷体"/>
              <w:sz w:val="28"/>
              <w:szCs w:val="28"/>
            </w:rPr>
            <w:tab/>
          </w:r>
          <w:r>
            <w:rPr>
              <w:rFonts w:eastAsia="楷体"/>
              <w:sz w:val="28"/>
              <w:szCs w:val="28"/>
            </w:rPr>
            <w:fldChar w:fldCharType="begin"/>
          </w:r>
          <w:r>
            <w:rPr>
              <w:rFonts w:eastAsia="楷体"/>
              <w:sz w:val="28"/>
              <w:szCs w:val="28"/>
            </w:rPr>
            <w:instrText xml:space="preserve"> PAGEREF _Toc27897 \h </w:instrText>
          </w:r>
          <w:r>
            <w:rPr>
              <w:rFonts w:eastAsia="楷体"/>
              <w:sz w:val="28"/>
              <w:szCs w:val="28"/>
            </w:rPr>
            <w:fldChar w:fldCharType="separate"/>
          </w:r>
          <w:r>
            <w:rPr>
              <w:rFonts w:eastAsia="楷体"/>
              <w:sz w:val="28"/>
              <w:szCs w:val="28"/>
            </w:rPr>
            <w:t>16</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"_Toc9369" </w:instrText>
          </w:r>
          <w:r>
            <w:fldChar w:fldCharType="separate"/>
          </w:r>
          <w:r>
            <w:rPr>
              <w:rFonts w:eastAsia="楷体"/>
              <w:sz w:val="28"/>
              <w:szCs w:val="28"/>
            </w:rPr>
            <w:t>1.加强危险废物源头减量化</w:t>
          </w:r>
          <w:r>
            <w:rPr>
              <w:rFonts w:eastAsia="楷体"/>
              <w:sz w:val="28"/>
              <w:szCs w:val="28"/>
            </w:rPr>
            <w:tab/>
          </w:r>
          <w:r>
            <w:rPr>
              <w:rFonts w:eastAsia="楷体"/>
              <w:sz w:val="28"/>
              <w:szCs w:val="28"/>
            </w:rPr>
            <w:fldChar w:fldCharType="begin"/>
          </w:r>
          <w:r>
            <w:rPr>
              <w:rFonts w:eastAsia="楷体"/>
              <w:sz w:val="28"/>
              <w:szCs w:val="28"/>
            </w:rPr>
            <w:instrText xml:space="preserve"> PAGEREF _Toc9369 \h </w:instrText>
          </w:r>
          <w:r>
            <w:rPr>
              <w:rFonts w:eastAsia="楷体"/>
              <w:sz w:val="28"/>
              <w:szCs w:val="28"/>
            </w:rPr>
            <w:fldChar w:fldCharType="separate"/>
          </w:r>
          <w:r>
            <w:rPr>
              <w:rFonts w:eastAsia="楷体"/>
              <w:sz w:val="28"/>
              <w:szCs w:val="28"/>
            </w:rPr>
            <w:t>16</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"_Toc24963" </w:instrText>
          </w:r>
          <w:r>
            <w:fldChar w:fldCharType="separate"/>
          </w:r>
          <w:r>
            <w:rPr>
              <w:rFonts w:eastAsia="楷体"/>
              <w:sz w:val="28"/>
              <w:szCs w:val="28"/>
            </w:rPr>
            <w:t>2.推进危险废物收运体系建设</w:t>
          </w:r>
          <w:r>
            <w:rPr>
              <w:rFonts w:eastAsia="楷体"/>
              <w:sz w:val="28"/>
              <w:szCs w:val="28"/>
            </w:rPr>
            <w:tab/>
          </w:r>
          <w:r>
            <w:rPr>
              <w:rFonts w:eastAsia="楷体"/>
              <w:sz w:val="28"/>
              <w:szCs w:val="28"/>
            </w:rPr>
            <w:fldChar w:fldCharType="begin"/>
          </w:r>
          <w:r>
            <w:rPr>
              <w:rFonts w:eastAsia="楷体"/>
              <w:sz w:val="28"/>
              <w:szCs w:val="28"/>
            </w:rPr>
            <w:instrText xml:space="preserve"> PAGEREF _Toc24963 \h </w:instrText>
          </w:r>
          <w:r>
            <w:rPr>
              <w:rFonts w:eastAsia="楷体"/>
              <w:sz w:val="28"/>
              <w:szCs w:val="28"/>
            </w:rPr>
            <w:fldChar w:fldCharType="separate"/>
          </w:r>
          <w:r>
            <w:rPr>
              <w:rFonts w:eastAsia="楷体"/>
              <w:sz w:val="28"/>
              <w:szCs w:val="28"/>
            </w:rPr>
            <w:t>16</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"_Toc24147" </w:instrText>
          </w:r>
          <w:r>
            <w:fldChar w:fldCharType="separate"/>
          </w:r>
          <w:r>
            <w:rPr>
              <w:rFonts w:eastAsia="楷体"/>
              <w:sz w:val="28"/>
              <w:szCs w:val="28"/>
            </w:rPr>
            <w:t>3.加强危险废物处置能力建设</w:t>
          </w:r>
          <w:r>
            <w:rPr>
              <w:rFonts w:eastAsia="楷体"/>
              <w:sz w:val="28"/>
              <w:szCs w:val="28"/>
            </w:rPr>
            <w:tab/>
          </w:r>
          <w:r>
            <w:rPr>
              <w:rFonts w:eastAsia="楷体"/>
              <w:sz w:val="28"/>
              <w:szCs w:val="28"/>
            </w:rPr>
            <w:fldChar w:fldCharType="begin"/>
          </w:r>
          <w:r>
            <w:rPr>
              <w:rFonts w:eastAsia="楷体"/>
              <w:sz w:val="28"/>
              <w:szCs w:val="28"/>
            </w:rPr>
            <w:instrText xml:space="preserve"> PAGEREF _Toc24147 \h </w:instrText>
          </w:r>
          <w:r>
            <w:rPr>
              <w:rFonts w:eastAsia="楷体"/>
              <w:sz w:val="28"/>
              <w:szCs w:val="28"/>
            </w:rPr>
            <w:fldChar w:fldCharType="separate"/>
          </w:r>
          <w:r>
            <w:rPr>
              <w:rFonts w:eastAsia="楷体"/>
              <w:sz w:val="28"/>
              <w:szCs w:val="28"/>
            </w:rPr>
            <w:t>16</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"_Toc28776" </w:instrText>
          </w:r>
          <w:r>
            <w:fldChar w:fldCharType="separate"/>
          </w:r>
          <w:r>
            <w:rPr>
              <w:rFonts w:eastAsia="楷体"/>
              <w:sz w:val="28"/>
              <w:szCs w:val="28"/>
            </w:rPr>
            <w:t>4.强化危险废物全过程环境监管</w:t>
          </w:r>
          <w:r>
            <w:rPr>
              <w:rFonts w:eastAsia="楷体"/>
              <w:sz w:val="28"/>
              <w:szCs w:val="28"/>
            </w:rPr>
            <w:tab/>
          </w:r>
          <w:r>
            <w:rPr>
              <w:rFonts w:eastAsia="楷体"/>
              <w:sz w:val="28"/>
              <w:szCs w:val="28"/>
            </w:rPr>
            <w:fldChar w:fldCharType="begin"/>
          </w:r>
          <w:r>
            <w:rPr>
              <w:rFonts w:eastAsia="楷体"/>
              <w:sz w:val="28"/>
              <w:szCs w:val="28"/>
            </w:rPr>
            <w:instrText xml:space="preserve"> PAGEREF _Toc28776 \h </w:instrText>
          </w:r>
          <w:r>
            <w:rPr>
              <w:rFonts w:eastAsia="楷体"/>
              <w:sz w:val="28"/>
              <w:szCs w:val="28"/>
            </w:rPr>
            <w:fldChar w:fldCharType="separate"/>
          </w:r>
          <w:r>
            <w:rPr>
              <w:rFonts w:eastAsia="楷体"/>
              <w:sz w:val="28"/>
              <w:szCs w:val="28"/>
            </w:rPr>
            <w:t>17</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"_Toc30479" </w:instrText>
          </w:r>
          <w:r>
            <w:fldChar w:fldCharType="separate"/>
          </w:r>
          <w:r>
            <w:rPr>
              <w:rFonts w:eastAsia="楷体"/>
              <w:sz w:val="28"/>
              <w:szCs w:val="28"/>
            </w:rPr>
            <w:t>5.</w:t>
          </w:r>
          <w:r>
            <w:rPr>
              <w:rFonts w:eastAsia="楷体"/>
              <w:sz w:val="28"/>
              <w:szCs w:val="28"/>
              <w:lang w:val="zh-CN"/>
            </w:rPr>
            <w:t>严厉打击</w:t>
          </w:r>
          <w:r>
            <w:rPr>
              <w:rFonts w:eastAsia="楷体"/>
              <w:sz w:val="28"/>
              <w:szCs w:val="28"/>
            </w:rPr>
            <w:t>危险</w:t>
          </w:r>
          <w:r>
            <w:rPr>
              <w:rFonts w:eastAsia="楷体"/>
              <w:sz w:val="28"/>
              <w:szCs w:val="28"/>
              <w:lang w:val="zh-CN"/>
            </w:rPr>
            <w:t>废物环境违法行为</w:t>
          </w:r>
          <w:r>
            <w:rPr>
              <w:rFonts w:eastAsia="楷体"/>
              <w:sz w:val="28"/>
              <w:szCs w:val="28"/>
            </w:rPr>
            <w:tab/>
          </w:r>
          <w:r>
            <w:rPr>
              <w:rFonts w:eastAsia="楷体"/>
              <w:sz w:val="28"/>
              <w:szCs w:val="28"/>
            </w:rPr>
            <w:fldChar w:fldCharType="begin"/>
          </w:r>
          <w:r>
            <w:rPr>
              <w:rFonts w:eastAsia="楷体"/>
              <w:sz w:val="28"/>
              <w:szCs w:val="28"/>
            </w:rPr>
            <w:instrText xml:space="preserve"> PAGEREF _Toc30479 \h </w:instrText>
          </w:r>
          <w:r>
            <w:rPr>
              <w:rFonts w:eastAsia="楷体"/>
              <w:sz w:val="28"/>
              <w:szCs w:val="28"/>
            </w:rPr>
            <w:fldChar w:fldCharType="separate"/>
          </w:r>
          <w:r>
            <w:rPr>
              <w:rFonts w:eastAsia="楷体"/>
              <w:sz w:val="28"/>
              <w:szCs w:val="28"/>
            </w:rPr>
            <w:t>17</w:t>
          </w:r>
          <w:r>
            <w:rPr>
              <w:rFonts w:eastAsia="楷体"/>
              <w:sz w:val="28"/>
              <w:szCs w:val="28"/>
            </w:rPr>
            <w:fldChar w:fldCharType="end"/>
          </w:r>
          <w:r>
            <w:rPr>
              <w:rFonts w:eastAsia="楷体"/>
              <w:sz w:val="28"/>
              <w:szCs w:val="28"/>
            </w:rPr>
            <w:fldChar w:fldCharType="end"/>
          </w:r>
        </w:p>
        <w:p>
          <w:pPr>
            <w:pStyle w:val="12"/>
            <w:tabs>
              <w:tab w:val="right" w:leader="dot" w:pos="8306"/>
            </w:tabs>
            <w:spacing w:line="360" w:lineRule="auto"/>
            <w:rPr>
              <w:rFonts w:eastAsia="楷体"/>
              <w:sz w:val="28"/>
              <w:szCs w:val="28"/>
            </w:rPr>
          </w:pPr>
          <w:r>
            <w:fldChar w:fldCharType="begin"/>
          </w:r>
          <w:r>
            <w:instrText xml:space="preserve"> HYPERLINK \l "_Toc26899" </w:instrText>
          </w:r>
          <w:r>
            <w:fldChar w:fldCharType="separate"/>
          </w:r>
          <w:r>
            <w:rPr>
              <w:rFonts w:eastAsia="楷体"/>
              <w:sz w:val="28"/>
              <w:szCs w:val="28"/>
            </w:rPr>
            <w:t>6.提升危险废物环境应急能力</w:t>
          </w:r>
          <w:r>
            <w:rPr>
              <w:rFonts w:eastAsia="楷体"/>
              <w:sz w:val="28"/>
              <w:szCs w:val="28"/>
            </w:rPr>
            <w:tab/>
          </w:r>
          <w:r>
            <w:rPr>
              <w:rFonts w:eastAsia="楷体"/>
              <w:sz w:val="28"/>
              <w:szCs w:val="28"/>
            </w:rPr>
            <w:fldChar w:fldCharType="begin"/>
          </w:r>
          <w:r>
            <w:rPr>
              <w:rFonts w:eastAsia="楷体"/>
              <w:sz w:val="28"/>
              <w:szCs w:val="28"/>
            </w:rPr>
            <w:instrText xml:space="preserve"> PAGEREF _Toc26899 \h </w:instrText>
          </w:r>
          <w:r>
            <w:rPr>
              <w:rFonts w:eastAsia="楷体"/>
              <w:sz w:val="28"/>
              <w:szCs w:val="28"/>
            </w:rPr>
            <w:fldChar w:fldCharType="separate"/>
          </w:r>
          <w:r>
            <w:rPr>
              <w:rFonts w:eastAsia="楷体"/>
              <w:sz w:val="28"/>
              <w:szCs w:val="28"/>
            </w:rPr>
            <w:t>18</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rPr>
              <w:rFonts w:eastAsia="楷体"/>
              <w:b/>
              <w:bCs/>
              <w:sz w:val="28"/>
              <w:szCs w:val="28"/>
            </w:rPr>
          </w:pPr>
          <w:r>
            <w:fldChar w:fldCharType="begin"/>
          </w:r>
          <w:r>
            <w:instrText xml:space="preserve"> HYPERLINK \l "_Toc24395" </w:instrText>
          </w:r>
          <w:r>
            <w:fldChar w:fldCharType="separate"/>
          </w:r>
          <w:r>
            <w:rPr>
              <w:rFonts w:eastAsia="楷体"/>
              <w:b/>
              <w:bCs/>
              <w:sz w:val="28"/>
              <w:szCs w:val="28"/>
            </w:rPr>
            <w:t>第四章 重点工程</w:t>
          </w:r>
          <w:r>
            <w:rPr>
              <w:rFonts w:eastAsia="楷体"/>
              <w:b/>
              <w:bCs/>
              <w:sz w:val="28"/>
              <w:szCs w:val="28"/>
            </w:rPr>
            <w:tab/>
          </w:r>
          <w:r>
            <w:rPr>
              <w:rFonts w:eastAsia="楷体"/>
              <w:b/>
              <w:bCs/>
              <w:sz w:val="28"/>
              <w:szCs w:val="28"/>
            </w:rPr>
            <w:fldChar w:fldCharType="begin"/>
          </w:r>
          <w:r>
            <w:rPr>
              <w:rFonts w:eastAsia="楷体"/>
              <w:b/>
              <w:bCs/>
              <w:sz w:val="28"/>
              <w:szCs w:val="28"/>
            </w:rPr>
            <w:instrText xml:space="preserve"> PAGEREF _Toc24395 \h </w:instrText>
          </w:r>
          <w:r>
            <w:rPr>
              <w:rFonts w:eastAsia="楷体"/>
              <w:b/>
              <w:bCs/>
              <w:sz w:val="28"/>
              <w:szCs w:val="28"/>
            </w:rPr>
            <w:fldChar w:fldCharType="separate"/>
          </w:r>
          <w:r>
            <w:rPr>
              <w:rFonts w:eastAsia="楷体"/>
              <w:b/>
              <w:bCs/>
              <w:sz w:val="28"/>
              <w:szCs w:val="28"/>
            </w:rPr>
            <w:t>20</w:t>
          </w:r>
          <w:r>
            <w:rPr>
              <w:rFonts w:eastAsia="楷体"/>
              <w:b/>
              <w:bCs/>
              <w:sz w:val="28"/>
              <w:szCs w:val="28"/>
            </w:rPr>
            <w:fldChar w:fldCharType="end"/>
          </w:r>
          <w:r>
            <w:rPr>
              <w:rFonts w:eastAsia="楷体"/>
              <w:b/>
              <w:bCs/>
              <w:sz w:val="28"/>
              <w:szCs w:val="28"/>
            </w:rPr>
            <w:fldChar w:fldCharType="end"/>
          </w:r>
        </w:p>
        <w:p>
          <w:pPr>
            <w:pStyle w:val="16"/>
            <w:tabs>
              <w:tab w:val="right" w:leader="dot" w:pos="8306"/>
            </w:tabs>
            <w:spacing w:line="360" w:lineRule="auto"/>
            <w:rPr>
              <w:rFonts w:eastAsia="楷体"/>
              <w:b/>
              <w:bCs/>
              <w:sz w:val="28"/>
              <w:szCs w:val="28"/>
            </w:rPr>
          </w:pPr>
          <w:r>
            <w:fldChar w:fldCharType="begin"/>
          </w:r>
          <w:r>
            <w:instrText xml:space="preserve"> HYPERLINK \l "_Toc3460" </w:instrText>
          </w:r>
          <w:r>
            <w:fldChar w:fldCharType="separate"/>
          </w:r>
          <w:r>
            <w:rPr>
              <w:rFonts w:eastAsia="楷体"/>
              <w:b/>
              <w:bCs/>
              <w:sz w:val="28"/>
              <w:szCs w:val="28"/>
            </w:rPr>
            <w:t>第五章 保障措施</w:t>
          </w:r>
          <w:r>
            <w:rPr>
              <w:rFonts w:eastAsia="楷体"/>
              <w:b/>
              <w:bCs/>
              <w:sz w:val="28"/>
              <w:szCs w:val="28"/>
            </w:rPr>
            <w:tab/>
          </w:r>
          <w:r>
            <w:rPr>
              <w:rFonts w:eastAsia="楷体"/>
              <w:b/>
              <w:bCs/>
              <w:sz w:val="28"/>
              <w:szCs w:val="28"/>
            </w:rPr>
            <w:fldChar w:fldCharType="begin"/>
          </w:r>
          <w:r>
            <w:rPr>
              <w:rFonts w:eastAsia="楷体"/>
              <w:b/>
              <w:bCs/>
              <w:sz w:val="28"/>
              <w:szCs w:val="28"/>
            </w:rPr>
            <w:instrText xml:space="preserve"> PAGEREF _Toc3460 \h </w:instrText>
          </w:r>
          <w:r>
            <w:rPr>
              <w:rFonts w:eastAsia="楷体"/>
              <w:b/>
              <w:bCs/>
              <w:sz w:val="28"/>
              <w:szCs w:val="28"/>
            </w:rPr>
            <w:fldChar w:fldCharType="separate"/>
          </w:r>
          <w:r>
            <w:rPr>
              <w:rFonts w:eastAsia="楷体"/>
              <w:b/>
              <w:bCs/>
              <w:sz w:val="28"/>
              <w:szCs w:val="28"/>
            </w:rPr>
            <w:t>21</w:t>
          </w:r>
          <w:r>
            <w:rPr>
              <w:rFonts w:eastAsia="楷体"/>
              <w:b/>
              <w:bCs/>
              <w:sz w:val="28"/>
              <w:szCs w:val="28"/>
            </w:rPr>
            <w:fldChar w:fldCharType="end"/>
          </w:r>
          <w:r>
            <w:rPr>
              <w:rFonts w:eastAsia="楷体"/>
              <w:b/>
              <w:bCs/>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"_Toc13726" </w:instrText>
          </w:r>
          <w:r>
            <w:fldChar w:fldCharType="separate"/>
          </w:r>
          <w:r>
            <w:rPr>
              <w:rFonts w:eastAsia="楷体"/>
              <w:sz w:val="28"/>
              <w:szCs w:val="28"/>
            </w:rPr>
            <w:t>（一） 加强组织领导、完善管理体系</w:t>
          </w:r>
          <w:r>
            <w:rPr>
              <w:rFonts w:eastAsia="楷体"/>
              <w:sz w:val="28"/>
              <w:szCs w:val="28"/>
            </w:rPr>
            <w:tab/>
          </w:r>
          <w:r>
            <w:rPr>
              <w:rFonts w:eastAsia="楷体"/>
              <w:sz w:val="28"/>
              <w:szCs w:val="28"/>
            </w:rPr>
            <w:fldChar w:fldCharType="begin"/>
          </w:r>
          <w:r>
            <w:rPr>
              <w:rFonts w:eastAsia="楷体"/>
              <w:sz w:val="28"/>
              <w:szCs w:val="28"/>
            </w:rPr>
            <w:instrText xml:space="preserve"> PAGEREF _Toc13726 \h </w:instrText>
          </w:r>
          <w:r>
            <w:rPr>
              <w:rFonts w:eastAsia="楷体"/>
              <w:sz w:val="28"/>
              <w:szCs w:val="28"/>
            </w:rPr>
            <w:fldChar w:fldCharType="separate"/>
          </w:r>
          <w:r>
            <w:rPr>
              <w:rFonts w:eastAsia="楷体"/>
              <w:sz w:val="28"/>
              <w:szCs w:val="28"/>
            </w:rPr>
            <w:t>21</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"_Toc18929" </w:instrText>
          </w:r>
          <w:r>
            <w:fldChar w:fldCharType="separate"/>
          </w:r>
          <w:r>
            <w:rPr>
              <w:rFonts w:eastAsia="楷体"/>
              <w:sz w:val="28"/>
              <w:szCs w:val="28"/>
            </w:rPr>
            <w:t>（二） 部门协调联动、明确任务分工</w:t>
          </w:r>
          <w:r>
            <w:rPr>
              <w:rFonts w:eastAsia="楷体"/>
              <w:sz w:val="28"/>
              <w:szCs w:val="28"/>
            </w:rPr>
            <w:tab/>
          </w:r>
          <w:r>
            <w:rPr>
              <w:rFonts w:eastAsia="楷体"/>
              <w:sz w:val="28"/>
              <w:szCs w:val="28"/>
            </w:rPr>
            <w:fldChar w:fldCharType="begin"/>
          </w:r>
          <w:r>
            <w:rPr>
              <w:rFonts w:eastAsia="楷体"/>
              <w:sz w:val="28"/>
              <w:szCs w:val="28"/>
            </w:rPr>
            <w:instrText xml:space="preserve"> PAGEREF _Toc18929 \h </w:instrText>
          </w:r>
          <w:r>
            <w:rPr>
              <w:rFonts w:eastAsia="楷体"/>
              <w:sz w:val="28"/>
              <w:szCs w:val="28"/>
            </w:rPr>
            <w:fldChar w:fldCharType="separate"/>
          </w:r>
          <w:r>
            <w:rPr>
              <w:rFonts w:eastAsia="楷体"/>
              <w:sz w:val="28"/>
              <w:szCs w:val="28"/>
            </w:rPr>
            <w:t>21</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"_Toc14403" </w:instrText>
          </w:r>
          <w:r>
            <w:fldChar w:fldCharType="separate"/>
          </w:r>
          <w:r>
            <w:rPr>
              <w:rFonts w:eastAsia="楷体"/>
              <w:sz w:val="28"/>
              <w:szCs w:val="28"/>
            </w:rPr>
            <w:t>（三） 落实政策扶持、强化项目支撑</w:t>
          </w:r>
          <w:r>
            <w:rPr>
              <w:rFonts w:eastAsia="楷体"/>
              <w:sz w:val="28"/>
              <w:szCs w:val="28"/>
            </w:rPr>
            <w:tab/>
          </w:r>
          <w:r>
            <w:rPr>
              <w:rFonts w:eastAsia="楷体"/>
              <w:sz w:val="28"/>
              <w:szCs w:val="28"/>
            </w:rPr>
            <w:fldChar w:fldCharType="begin"/>
          </w:r>
          <w:r>
            <w:rPr>
              <w:rFonts w:eastAsia="楷体"/>
              <w:sz w:val="28"/>
              <w:szCs w:val="28"/>
            </w:rPr>
            <w:instrText xml:space="preserve"> PAGEREF _Toc14403 \h </w:instrText>
          </w:r>
          <w:r>
            <w:rPr>
              <w:rFonts w:eastAsia="楷体"/>
              <w:sz w:val="28"/>
              <w:szCs w:val="28"/>
            </w:rPr>
            <w:fldChar w:fldCharType="separate"/>
          </w:r>
          <w:r>
            <w:rPr>
              <w:rFonts w:eastAsia="楷体"/>
              <w:sz w:val="28"/>
              <w:szCs w:val="28"/>
            </w:rPr>
            <w:t>21</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"_Toc14307" </w:instrText>
          </w:r>
          <w:r>
            <w:fldChar w:fldCharType="separate"/>
          </w:r>
          <w:r>
            <w:rPr>
              <w:rFonts w:eastAsia="楷体"/>
              <w:sz w:val="28"/>
              <w:szCs w:val="28"/>
            </w:rPr>
            <w:t>（四） 加强宣传引导，倡导公众参与</w:t>
          </w:r>
          <w:r>
            <w:rPr>
              <w:rFonts w:eastAsia="楷体"/>
              <w:sz w:val="28"/>
              <w:szCs w:val="28"/>
            </w:rPr>
            <w:tab/>
          </w:r>
          <w:r>
            <w:rPr>
              <w:rFonts w:eastAsia="楷体"/>
              <w:sz w:val="28"/>
              <w:szCs w:val="28"/>
            </w:rPr>
            <w:fldChar w:fldCharType="begin"/>
          </w:r>
          <w:r>
            <w:rPr>
              <w:rFonts w:eastAsia="楷体"/>
              <w:sz w:val="28"/>
              <w:szCs w:val="28"/>
            </w:rPr>
            <w:instrText xml:space="preserve"> PAGEREF _Toc14307 \h </w:instrText>
          </w:r>
          <w:r>
            <w:rPr>
              <w:rFonts w:eastAsia="楷体"/>
              <w:sz w:val="28"/>
              <w:szCs w:val="28"/>
            </w:rPr>
            <w:fldChar w:fldCharType="separate"/>
          </w:r>
          <w:r>
            <w:rPr>
              <w:rFonts w:eastAsia="楷体"/>
              <w:sz w:val="28"/>
              <w:szCs w:val="28"/>
            </w:rPr>
            <w:t>22</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rPr>
              <w:rFonts w:eastAsia="楷体"/>
              <w:b/>
              <w:bCs/>
              <w:sz w:val="28"/>
              <w:szCs w:val="28"/>
            </w:rPr>
          </w:pPr>
          <w:r>
            <w:fldChar w:fldCharType="begin"/>
          </w:r>
          <w:r>
            <w:instrText xml:space="preserve"> HYPERLINK \l "_Toc13292" </w:instrText>
          </w:r>
          <w:r>
            <w:fldChar w:fldCharType="separate"/>
          </w:r>
          <w:r>
            <w:rPr>
              <w:rFonts w:eastAsia="楷体"/>
              <w:b/>
              <w:bCs/>
              <w:sz w:val="28"/>
              <w:szCs w:val="28"/>
            </w:rPr>
            <w:t>附表</w:t>
          </w:r>
          <w:r>
            <w:rPr>
              <w:rFonts w:eastAsia="楷体"/>
              <w:b/>
              <w:bCs/>
              <w:sz w:val="28"/>
              <w:szCs w:val="28"/>
            </w:rPr>
            <w:tab/>
          </w:r>
          <w:r>
            <w:rPr>
              <w:rFonts w:eastAsia="楷体"/>
              <w:b/>
              <w:bCs/>
              <w:sz w:val="28"/>
              <w:szCs w:val="28"/>
            </w:rPr>
            <w:fldChar w:fldCharType="begin"/>
          </w:r>
          <w:r>
            <w:rPr>
              <w:rFonts w:eastAsia="楷体"/>
              <w:b/>
              <w:bCs/>
              <w:sz w:val="28"/>
              <w:szCs w:val="28"/>
            </w:rPr>
            <w:instrText xml:space="preserve"> PAGEREF _Toc13292 \h </w:instrText>
          </w:r>
          <w:r>
            <w:rPr>
              <w:rFonts w:eastAsia="楷体"/>
              <w:b/>
              <w:bCs/>
              <w:sz w:val="28"/>
              <w:szCs w:val="28"/>
            </w:rPr>
            <w:fldChar w:fldCharType="separate"/>
          </w:r>
          <w:r>
            <w:rPr>
              <w:rFonts w:eastAsia="楷体"/>
              <w:b/>
              <w:bCs/>
              <w:sz w:val="28"/>
              <w:szCs w:val="28"/>
            </w:rPr>
            <w:t>23</w:t>
          </w:r>
          <w:r>
            <w:rPr>
              <w:rFonts w:eastAsia="楷体"/>
              <w:b/>
              <w:bCs/>
              <w:sz w:val="28"/>
              <w:szCs w:val="28"/>
            </w:rPr>
            <w:fldChar w:fldCharType="end"/>
          </w:r>
          <w:r>
            <w:rPr>
              <w:rFonts w:eastAsia="楷体"/>
              <w:b/>
              <w:bCs/>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"_Toc32513" </w:instrText>
          </w:r>
          <w:r>
            <w:fldChar w:fldCharType="separate"/>
          </w:r>
          <w:r>
            <w:rPr>
              <w:rFonts w:eastAsia="楷体"/>
              <w:bCs/>
              <w:sz w:val="28"/>
              <w:szCs w:val="28"/>
              <w:lang w:bidi="ar"/>
            </w:rPr>
            <w:t>表1 伊吾县2018-2022年危险废物产生利用情况</w:t>
          </w:r>
          <w:r>
            <w:rPr>
              <w:rFonts w:eastAsia="楷体"/>
              <w:sz w:val="28"/>
              <w:szCs w:val="28"/>
            </w:rPr>
            <w:tab/>
          </w:r>
          <w:r>
            <w:rPr>
              <w:rFonts w:eastAsia="楷体"/>
              <w:sz w:val="28"/>
              <w:szCs w:val="28"/>
            </w:rPr>
            <w:fldChar w:fldCharType="begin"/>
          </w:r>
          <w:r>
            <w:rPr>
              <w:rFonts w:eastAsia="楷体"/>
              <w:sz w:val="28"/>
              <w:szCs w:val="28"/>
            </w:rPr>
            <w:instrText xml:space="preserve"> PAGEREF _Toc32513 \h </w:instrText>
          </w:r>
          <w:r>
            <w:rPr>
              <w:rFonts w:eastAsia="楷体"/>
              <w:sz w:val="28"/>
              <w:szCs w:val="28"/>
            </w:rPr>
            <w:fldChar w:fldCharType="separate"/>
          </w:r>
          <w:r>
            <w:rPr>
              <w:rFonts w:eastAsia="楷体"/>
              <w:sz w:val="28"/>
              <w:szCs w:val="28"/>
            </w:rPr>
            <w:t>23</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"_Toc4199" </w:instrText>
          </w:r>
          <w:r>
            <w:fldChar w:fldCharType="separate"/>
          </w:r>
          <w:r>
            <w:rPr>
              <w:rFonts w:eastAsia="楷体"/>
              <w:bCs/>
              <w:sz w:val="28"/>
              <w:szCs w:val="28"/>
              <w:lang w:bidi="ar"/>
            </w:rPr>
            <w:t>表2 伊吾县2022年不同危险废物产生利用情况</w:t>
          </w:r>
          <w:r>
            <w:rPr>
              <w:rFonts w:eastAsia="楷体"/>
              <w:sz w:val="28"/>
              <w:szCs w:val="28"/>
            </w:rPr>
            <w:tab/>
          </w:r>
          <w:r>
            <w:rPr>
              <w:rFonts w:eastAsia="楷体"/>
              <w:sz w:val="28"/>
              <w:szCs w:val="28"/>
            </w:rPr>
            <w:fldChar w:fldCharType="begin"/>
          </w:r>
          <w:r>
            <w:rPr>
              <w:rFonts w:eastAsia="楷体"/>
              <w:sz w:val="28"/>
              <w:szCs w:val="28"/>
            </w:rPr>
            <w:instrText xml:space="preserve"> PAGEREF _Toc4199 \h </w:instrText>
          </w:r>
          <w:r>
            <w:rPr>
              <w:rFonts w:eastAsia="楷体"/>
              <w:sz w:val="28"/>
              <w:szCs w:val="28"/>
            </w:rPr>
            <w:fldChar w:fldCharType="separate"/>
          </w:r>
          <w:r>
            <w:rPr>
              <w:rFonts w:eastAsia="楷体"/>
              <w:sz w:val="28"/>
              <w:szCs w:val="28"/>
            </w:rPr>
            <w:t>24</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8"/>
              <w:szCs w:val="28"/>
            </w:rPr>
          </w:pPr>
          <w:r>
            <w:fldChar w:fldCharType="begin"/>
          </w:r>
          <w:r>
            <w:instrText xml:space="preserve"> HYPERLINK \l "_Toc13236" </w:instrText>
          </w:r>
          <w:r>
            <w:fldChar w:fldCharType="separate"/>
          </w:r>
          <w:r>
            <w:rPr>
              <w:rFonts w:eastAsia="楷体"/>
              <w:bCs/>
              <w:spacing w:val="-3"/>
              <w:sz w:val="28"/>
              <w:szCs w:val="28"/>
            </w:rPr>
            <w:t>表3 伊吾县危险废物经营项目基本情况</w:t>
          </w:r>
          <w:r>
            <w:rPr>
              <w:rFonts w:eastAsia="楷体"/>
              <w:sz w:val="28"/>
              <w:szCs w:val="28"/>
            </w:rPr>
            <w:tab/>
          </w:r>
          <w:r>
            <w:rPr>
              <w:rFonts w:eastAsia="楷体"/>
              <w:sz w:val="28"/>
              <w:szCs w:val="28"/>
            </w:rPr>
            <w:fldChar w:fldCharType="begin"/>
          </w:r>
          <w:r>
            <w:rPr>
              <w:rFonts w:eastAsia="楷体"/>
              <w:sz w:val="28"/>
              <w:szCs w:val="28"/>
            </w:rPr>
            <w:instrText xml:space="preserve"> PAGEREF _Toc13236 \h </w:instrText>
          </w:r>
          <w:r>
            <w:rPr>
              <w:rFonts w:eastAsia="楷体"/>
              <w:sz w:val="28"/>
              <w:szCs w:val="28"/>
            </w:rPr>
            <w:fldChar w:fldCharType="separate"/>
          </w:r>
          <w:r>
            <w:rPr>
              <w:rFonts w:eastAsia="楷体"/>
              <w:sz w:val="28"/>
              <w:szCs w:val="28"/>
            </w:rPr>
            <w:t>25</w:t>
          </w:r>
          <w:r>
            <w:rPr>
              <w:rFonts w:eastAsia="楷体"/>
              <w:sz w:val="28"/>
              <w:szCs w:val="28"/>
            </w:rPr>
            <w:fldChar w:fldCharType="end"/>
          </w:r>
          <w:r>
            <w:rPr>
              <w:rFonts w:eastAsia="楷体"/>
              <w:sz w:val="28"/>
              <w:szCs w:val="28"/>
            </w:rPr>
            <w:fldChar w:fldCharType="end"/>
          </w:r>
        </w:p>
        <w:p>
          <w:pPr>
            <w:pStyle w:val="16"/>
            <w:tabs>
              <w:tab w:val="right" w:leader="dot" w:pos="8306"/>
            </w:tabs>
            <w:spacing w:line="360" w:lineRule="auto"/>
            <w:ind w:firstLine="420" w:firstLineChars="200"/>
            <w:rPr>
              <w:rFonts w:eastAsia="楷体"/>
              <w:sz w:val="22"/>
              <w:szCs w:val="21"/>
            </w:rPr>
          </w:pPr>
          <w:r>
            <w:fldChar w:fldCharType="begin"/>
          </w:r>
          <w:r>
            <w:instrText xml:space="preserve"> HYPERLINK \l "_Toc29948" </w:instrText>
          </w:r>
          <w:r>
            <w:fldChar w:fldCharType="separate"/>
          </w:r>
          <w:r>
            <w:rPr>
              <w:rFonts w:eastAsia="楷体"/>
              <w:bCs/>
              <w:spacing w:val="-3"/>
              <w:sz w:val="28"/>
              <w:szCs w:val="28"/>
            </w:rPr>
            <w:t>表4 伊吾县2018-2022年一般工业固废产生情况</w:t>
          </w:r>
          <w:r>
            <w:rPr>
              <w:rFonts w:eastAsia="楷体"/>
              <w:sz w:val="28"/>
              <w:szCs w:val="28"/>
            </w:rPr>
            <w:tab/>
          </w:r>
          <w:r>
            <w:rPr>
              <w:rFonts w:eastAsia="楷体"/>
              <w:sz w:val="28"/>
              <w:szCs w:val="28"/>
            </w:rPr>
            <w:fldChar w:fldCharType="begin"/>
          </w:r>
          <w:r>
            <w:rPr>
              <w:rFonts w:eastAsia="楷体"/>
              <w:sz w:val="28"/>
              <w:szCs w:val="28"/>
            </w:rPr>
            <w:instrText xml:space="preserve"> PAGEREF _Toc29948 \h </w:instrText>
          </w:r>
          <w:r>
            <w:rPr>
              <w:rFonts w:eastAsia="楷体"/>
              <w:sz w:val="28"/>
              <w:szCs w:val="28"/>
            </w:rPr>
            <w:fldChar w:fldCharType="separate"/>
          </w:r>
          <w:r>
            <w:rPr>
              <w:rFonts w:eastAsia="楷体"/>
              <w:sz w:val="28"/>
              <w:szCs w:val="28"/>
            </w:rPr>
            <w:t>26</w:t>
          </w:r>
          <w:r>
            <w:rPr>
              <w:rFonts w:eastAsia="楷体"/>
              <w:sz w:val="28"/>
              <w:szCs w:val="28"/>
            </w:rPr>
            <w:fldChar w:fldCharType="end"/>
          </w:r>
          <w:r>
            <w:rPr>
              <w:rFonts w:eastAsia="楷体"/>
              <w:sz w:val="28"/>
              <w:szCs w:val="28"/>
            </w:rPr>
            <w:fldChar w:fldCharType="end"/>
          </w:r>
        </w:p>
        <w:p>
          <w:r>
            <w:fldChar w:fldCharType="end"/>
          </w:r>
        </w:p>
        <w:p>
          <w:pPr>
            <w:pStyle w:val="2"/>
            <w:spacing w:before="468" w:after="312"/>
            <w:ind w:firstLine="403"/>
            <w:rPr>
              <w:rFonts w:ascii="Times New Roman" w:hAnsi="Times New Roman"/>
            </w:rPr>
          </w:pPr>
        </w:p>
      </w:sdtContent>
    </w:sdt>
    <w:bookmarkEnd w:id="15"/>
    <w:p>
      <w:pPr>
        <w:pStyle w:val="2"/>
        <w:spacing w:before="468" w:after="312"/>
        <w:ind w:firstLine="403"/>
        <w:rPr>
          <w:rFonts w:ascii="Times New Roman" w:hAnsi="Times New Roman"/>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pStyle w:val="3"/>
        <w:ind w:firstLine="0" w:firstLineChars="0"/>
        <w:rPr>
          <w:rFonts w:hint="default" w:eastAsia="黑体"/>
          <w:lang w:val="en-US" w:eastAsia="zh-CN"/>
        </w:rPr>
      </w:pPr>
      <w:bookmarkStart w:id="16" w:name="_Toc5751"/>
      <w:bookmarkStart w:id="17" w:name="_Toc29882"/>
      <w:bookmarkStart w:id="18" w:name="_Toc3678"/>
      <w:r>
        <w:t xml:space="preserve">第一章 </w:t>
      </w:r>
      <w:bookmarkEnd w:id="16"/>
      <w:bookmarkEnd w:id="17"/>
      <w:bookmarkEnd w:id="18"/>
      <w:r>
        <w:rPr>
          <w:rFonts w:hint="eastAsia"/>
          <w:lang w:val="en-US" w:eastAsia="zh-CN"/>
        </w:rPr>
        <w:t>形势现状</w:t>
      </w:r>
    </w:p>
    <w:p>
      <w:pPr>
        <w:pStyle w:val="4"/>
        <w:ind w:left="0"/>
      </w:pPr>
      <w:bookmarkStart w:id="19" w:name="_Toc19187"/>
      <w:bookmarkStart w:id="20" w:name="_Toc11625"/>
      <w:bookmarkStart w:id="21" w:name="_Toc30374"/>
      <w:bookmarkStart w:id="22" w:name="_Toc114822495"/>
      <w:r>
        <w:t>规划背景</w:t>
      </w:r>
      <w:bookmarkEnd w:id="19"/>
      <w:bookmarkEnd w:id="20"/>
      <w:bookmarkEnd w:id="21"/>
      <w:bookmarkEnd w:id="22"/>
    </w:p>
    <w:p>
      <w:pPr>
        <w:ind w:firstLine="640" w:firstLineChars="200"/>
        <w:rPr>
          <w:rFonts w:eastAsia="仿宋_GB2312"/>
          <w:sz w:val="32"/>
          <w:szCs w:val="32"/>
        </w:rPr>
      </w:pPr>
      <w:r>
        <w:rPr>
          <w:rFonts w:eastAsia="仿宋_GB2312"/>
          <w:sz w:val="32"/>
          <w:szCs w:val="32"/>
        </w:rPr>
        <w:t>“十三五”期间，伊吾县县委、人民政府坚决贯彻自治区党委、哈密市委各项决策部署，伊吾县牢固树立“绿水青山就是金山银山”的发展理念，坚持综合治理、系统治理、源头治理，深入开展污染防治行动，污染防治工作成效显著。“十四五”是伊吾县建成宜居宜业宜游宜养的花园城市、具有“大美新疆”特质的国家级休闲度假区、自治区生态文明建设的样板区的关键期，对伊吾县工业固体废物污染防治工作提出更高要求。</w:t>
      </w:r>
    </w:p>
    <w:p>
      <w:pPr>
        <w:ind w:firstLine="640" w:firstLineChars="200"/>
      </w:pPr>
      <w:r>
        <w:rPr>
          <w:rFonts w:eastAsia="仿宋_GB2312"/>
          <w:sz w:val="32"/>
          <w:szCs w:val="32"/>
        </w:rPr>
        <w:t>加强工业固体废物污染环境防治，持续提升工业固体废物综合利用水平是贯彻落实习近平生态文明思想、推进生态文明建设先行示范区的必然要求，是大力发展循环经济、维护生态环境安全、保障人民群众环境权益的重要举措。新修订</w:t>
      </w:r>
      <w:r>
        <w:rPr>
          <w:rFonts w:hint="eastAsia" w:eastAsia="仿宋_GB2312"/>
          <w:sz w:val="32"/>
          <w:szCs w:val="32"/>
          <w:lang w:val="en-US" w:eastAsia="zh-CN"/>
        </w:rPr>
        <w:t>实施</w:t>
      </w:r>
      <w:r>
        <w:rPr>
          <w:rFonts w:eastAsia="仿宋_GB2312"/>
          <w:sz w:val="32"/>
          <w:szCs w:val="32"/>
        </w:rPr>
        <w:t>的《中华人民共和国固体废物污染环境防治法》，其中第三章第三十五条规定：“县级以上地方人民政府应当制定工业固体废物污染环境防治工作规划，组织建设工业固体废物集中处置等设施，推动工业固体废物污染环境防治工作”。哈密市积极响应国家及自治区要求，明确要求全域开展“无废城市”建设。</w:t>
      </w:r>
    </w:p>
    <w:p>
      <w:pPr>
        <w:ind w:firstLine="640" w:firstLineChars="200"/>
        <w:rPr>
          <w:rFonts w:eastAsia="仿宋_GB2312"/>
          <w:sz w:val="32"/>
          <w:szCs w:val="32"/>
        </w:rPr>
      </w:pPr>
      <w:r>
        <w:rPr>
          <w:rFonts w:eastAsia="仿宋_GB2312"/>
          <w:sz w:val="32"/>
          <w:szCs w:val="32"/>
        </w:rPr>
        <w:t>本规划按照国家、自治区、哈密市关于环境保护的工作要求，结合伊吾县实际情况，紧紧围绕推进生态文明建设、优化经济发展、建设美丽伊吾，系统梳理伊吾县当前工业固体废物污染环境防治工作现状，明确期间主要目标、重点任务、重点工程以及规划保障措施，使其成为指导伊吾县下一阶段工业固体废物污染环境防治工作的行动纲领。</w:t>
      </w:r>
    </w:p>
    <w:p>
      <w:pPr>
        <w:pStyle w:val="4"/>
        <w:ind w:left="0"/>
      </w:pPr>
      <w:bookmarkStart w:id="23" w:name="_Toc2657"/>
      <w:bookmarkStart w:id="24" w:name="_Toc32103"/>
      <w:r>
        <w:t>工作现状</w:t>
      </w:r>
      <w:bookmarkEnd w:id="23"/>
      <w:bookmarkEnd w:id="24"/>
    </w:p>
    <w:p>
      <w:pPr>
        <w:pStyle w:val="5"/>
        <w:ind w:firstLine="643"/>
      </w:pPr>
      <w:bookmarkStart w:id="25" w:name="_Toc25599"/>
      <w:bookmarkStart w:id="26" w:name="_Toc17058"/>
      <w:bookmarkStart w:id="27" w:name="_Toc107387322"/>
      <w:bookmarkStart w:id="28" w:name="_Toc1944"/>
      <w:r>
        <w:t>1.一般工业固体废物产生与利用处置情况</w:t>
      </w:r>
      <w:bookmarkEnd w:id="25"/>
      <w:bookmarkEnd w:id="26"/>
    </w:p>
    <w:p>
      <w:pPr>
        <w:ind w:firstLine="640" w:firstLineChars="200"/>
        <w:rPr>
          <w:rFonts w:eastAsia="仿宋_GB2312"/>
          <w:sz w:val="32"/>
          <w:szCs w:val="32"/>
        </w:rPr>
      </w:pPr>
      <w:bookmarkStart w:id="29" w:name="_Hlk40823695"/>
      <w:r>
        <w:rPr>
          <w:rFonts w:eastAsia="仿宋_GB2312"/>
          <w:sz w:val="32"/>
          <w:szCs w:val="32"/>
        </w:rPr>
        <w:t>根据伊吾县一般工业固废统计报表显示，2018-2022年伊吾县一般工业固体废物产生量约51.69、58.55、58.53、72.80、71.54万吨，一般工业固体废物年产生量总体呈先上升后下降趋势。</w:t>
      </w:r>
    </w:p>
    <w:p>
      <w:pPr>
        <w:ind w:firstLine="640" w:firstLineChars="200"/>
        <w:rPr>
          <w:rFonts w:eastAsia="仿宋_GB2312"/>
          <w:sz w:val="32"/>
          <w:szCs w:val="32"/>
        </w:rPr>
      </w:pPr>
      <w:r>
        <w:rPr>
          <w:rFonts w:eastAsia="仿宋_GB2312"/>
          <w:sz w:val="32"/>
          <w:szCs w:val="32"/>
        </w:rPr>
        <w:t>2022年，伊吾县一般工业固体废物产生量约为71.54万吨。炉渣为伊吾县第一大类一般工业固体废物，产生量约为44.94万吨，约占总产生量的62.82%；尾矿及粉煤灰产生量分别约为15.09、11.51万吨，占总产生量的21.09%、16.09%。</w:t>
      </w:r>
    </w:p>
    <w:p>
      <w:pPr>
        <w:ind w:firstLine="640" w:firstLineChars="200"/>
        <w:rPr>
          <w:rFonts w:eastAsia="仿宋_GB2312"/>
          <w:sz w:val="32"/>
          <w:szCs w:val="32"/>
          <w:shd w:val="clear" w:color="auto" w:fill="FFFFFF"/>
        </w:rPr>
      </w:pPr>
      <w:r>
        <w:rPr>
          <w:rFonts w:eastAsia="仿宋_GB2312"/>
          <w:sz w:val="32"/>
          <w:szCs w:val="32"/>
        </w:rPr>
        <w:t>伊吾县一般工业固体废物年产生量总体呈先上升后下降趋势。</w:t>
      </w:r>
      <w:bookmarkEnd w:id="29"/>
      <w:r>
        <w:rPr>
          <w:rFonts w:eastAsia="仿宋_GB2312"/>
          <w:sz w:val="32"/>
          <w:szCs w:val="32"/>
          <w:shd w:val="clear" w:color="auto" w:fill="FFFFFF"/>
        </w:rPr>
        <w:t>辖区内多为煤化工企业，企业产生的粉煤灰、脱硫石膏、炉渣等一般固废均运转至广汇新能源一般固废填埋场填埋处置。伊吾县对物料堆场进行整治，严防工业固体废物乱堆乱放，有效降低粉尘无组织排放。</w:t>
      </w:r>
    </w:p>
    <w:p>
      <w:pPr>
        <w:pStyle w:val="5"/>
        <w:ind w:firstLine="643"/>
        <w:rPr>
          <w:rFonts w:eastAsia="仿宋_GB2312"/>
          <w:lang w:bidi="ar"/>
        </w:rPr>
      </w:pPr>
      <w:bookmarkStart w:id="30" w:name="_Toc20141"/>
      <w:bookmarkStart w:id="31" w:name="_Toc7789"/>
      <w:r>
        <w:rPr>
          <w:rFonts w:eastAsia="仿宋_GB2312"/>
          <w:lang w:bidi="ar"/>
        </w:rPr>
        <w:t>2.</w:t>
      </w:r>
      <w:r>
        <w:rPr>
          <w:rFonts w:eastAsia="仿宋_GB2312"/>
        </w:rPr>
        <w:t>危险废物产生与利用处置情况</w:t>
      </w:r>
      <w:bookmarkEnd w:id="30"/>
      <w:bookmarkEnd w:id="31"/>
    </w:p>
    <w:p>
      <w:pPr>
        <w:pStyle w:val="13"/>
        <w:rPr>
          <w:rFonts w:eastAsia="仿宋_GB2312"/>
          <w:szCs w:val="32"/>
          <w:lang w:bidi="ar"/>
        </w:rPr>
      </w:pPr>
      <w:r>
        <w:rPr>
          <w:rFonts w:eastAsia="仿宋_GB2312"/>
          <w:szCs w:val="32"/>
          <w:lang w:bidi="ar"/>
        </w:rPr>
        <w:t>依据2018-2022年企业自行申报年报统计，2022年伊吾县危险废物产生量相比2018年总量增加了约113.34万吨。统计数据增加明显主要有两方面原因：一是HW11精（蒸）馏残渣、HW50废催化剂、HW49其他废物、HW08废矿物油与含矿物油废物等产生量大幅增加，二是管理工作水平提高，统计覆盖范围和类别大幅增加。</w:t>
      </w:r>
    </w:p>
    <w:p>
      <w:pPr>
        <w:ind w:firstLine="640" w:firstLineChars="200"/>
        <w:rPr>
          <w:rFonts w:eastAsia="仿宋_GB2312"/>
          <w:sz w:val="32"/>
          <w:szCs w:val="32"/>
        </w:rPr>
      </w:pPr>
      <w:r>
        <w:rPr>
          <w:rFonts w:eastAsia="仿宋_GB2312"/>
          <w:sz w:val="32"/>
          <w:szCs w:val="32"/>
        </w:rPr>
        <w:t>2022年伊吾县共产生</w:t>
      </w:r>
      <w:r>
        <w:rPr>
          <w:rFonts w:hint="eastAsia" w:eastAsia="仿宋_GB2312"/>
          <w:sz w:val="32"/>
          <w:szCs w:val="32"/>
          <w:lang w:val="en-US" w:eastAsia="zh-CN"/>
        </w:rPr>
        <w:t>9</w:t>
      </w:r>
      <w:r>
        <w:rPr>
          <w:rFonts w:eastAsia="仿宋_GB2312"/>
          <w:sz w:val="32"/>
          <w:szCs w:val="32"/>
        </w:rPr>
        <w:t>大类危险废物，总产生量约为115.73万吨。产生量最大的为HW11精（蒸）馏残渣。产生量115.63万吨，占伊吾县总产生量的99.91%以上。其他产生量较高的还有HW50废催化剂0.06万吨、HW49其他废物0.019万吨、HW08废矿物油与含矿物油废物0.018万吨。</w:t>
      </w:r>
    </w:p>
    <w:p>
      <w:pPr>
        <w:ind w:firstLine="640" w:firstLineChars="200"/>
        <w:rPr>
          <w:rFonts w:eastAsia="仿宋_GB2312"/>
          <w:sz w:val="32"/>
          <w:szCs w:val="32"/>
        </w:rPr>
      </w:pPr>
      <w:r>
        <w:rPr>
          <w:rFonts w:eastAsia="仿宋_GB2312"/>
          <w:sz w:val="32"/>
          <w:szCs w:val="32"/>
        </w:rPr>
        <w:t>2022年，伊吾县涉及危险废物企业产生量比较大的主要是新疆广汇煤炭清洁炼化有限责任公司和新疆广汇新能源有限公司，两家单位产生危险废种类相似，主要有HW08废矿物油与含矿物油废物、HW11精（蒸）馏残渣、HW13有机树脂类废物、HW50废催化剂等，分别产生危险废物62.28、40.56万吨，除新疆广汇新能源有限公司有1.17万吨危险废物自行处置利用外，其余均委外处置。其余产生量较大的企业还有哈密润达能源开发有限公司、新疆同顺源能源开发有限公司、伊吾疆纳新材料有限公司，危废产生量分别为6.20、4.33、2.32万吨，仅有哈密润达能源开发有限公司有0.8吨危险废物自行处置利用外，其余也均委外处置。</w:t>
      </w:r>
    </w:p>
    <w:p>
      <w:pPr>
        <w:ind w:firstLine="640" w:firstLineChars="200"/>
        <w:rPr>
          <w:rFonts w:eastAsia="仿宋_GB2312"/>
          <w:sz w:val="32"/>
          <w:szCs w:val="32"/>
        </w:rPr>
      </w:pPr>
      <w:r>
        <w:rPr>
          <w:rFonts w:eastAsia="仿宋_GB2312"/>
          <w:sz w:val="32"/>
          <w:szCs w:val="32"/>
        </w:rPr>
        <w:t>2018年-2022年伊吾县危险废物利用处置量约2.37、2.25、12.72、41.78、116.34万吨，利用处置率分别为98.96%、99.22%、38.40%、99.97%、99.97%（包含上年度库存处置量计算）。</w:t>
      </w:r>
    </w:p>
    <w:p>
      <w:pPr>
        <w:pStyle w:val="13"/>
        <w:rPr>
          <w:rFonts w:eastAsia="仿宋_GB2312"/>
          <w:szCs w:val="32"/>
          <w:lang w:bidi="ar"/>
        </w:rPr>
      </w:pPr>
      <w:r>
        <w:rPr>
          <w:rFonts w:eastAsia="仿宋_GB2312"/>
          <w:szCs w:val="32"/>
        </w:rPr>
        <w:t>2022年，伊吾县危险废物利用处置量约116.34万吨（其中，企业自行处置利用1.17万吨，委托利用处置115.17万吨），累计贮存工业危险废物约0.03万吨，利用处置率为99.97%（包含上年度库存处置量计算）。</w:t>
      </w:r>
    </w:p>
    <w:p>
      <w:pPr>
        <w:pStyle w:val="13"/>
        <w:rPr>
          <w:rFonts w:eastAsia="仿宋_GB2312"/>
          <w:szCs w:val="32"/>
        </w:rPr>
      </w:pPr>
      <w:r>
        <w:rPr>
          <w:rFonts w:eastAsia="仿宋_GB2312"/>
          <w:szCs w:val="32"/>
        </w:rPr>
        <w:t>伊吾县目前危险废物经营单位共3家，可处理危险废物类别为HW06废有机溶剂与含有机溶剂废物及HW11精（蒸）馏残渣，处理能力为78.6万吨/年。</w:t>
      </w:r>
    </w:p>
    <w:p>
      <w:pPr>
        <w:ind w:firstLine="600"/>
        <w:rPr>
          <w:rFonts w:eastAsia="仿宋_GB2312"/>
          <w:sz w:val="32"/>
          <w:szCs w:val="32"/>
        </w:rPr>
      </w:pPr>
      <w:r>
        <w:rPr>
          <w:rFonts w:eastAsia="仿宋_GB2312"/>
          <w:sz w:val="32"/>
          <w:szCs w:val="32"/>
        </w:rPr>
        <w:t>总体而言，伊吾县危险废物处置能力不足，大部分危险废物均需要委外利用处置。</w:t>
      </w:r>
    </w:p>
    <w:bookmarkEnd w:id="27"/>
    <w:bookmarkEnd w:id="28"/>
    <w:p>
      <w:pPr>
        <w:pStyle w:val="4"/>
        <w:ind w:left="0"/>
      </w:pPr>
      <w:bookmarkStart w:id="32" w:name="_Toc724"/>
      <w:bookmarkStart w:id="33" w:name="_Toc3764"/>
      <w:bookmarkStart w:id="34" w:name="_Toc11355"/>
      <w:r>
        <w:t>重点工作成效</w:t>
      </w:r>
      <w:bookmarkEnd w:id="32"/>
      <w:bookmarkEnd w:id="33"/>
      <w:bookmarkEnd w:id="34"/>
    </w:p>
    <w:p>
      <w:pPr>
        <w:pStyle w:val="5"/>
        <w:ind w:firstLine="643"/>
      </w:pPr>
      <w:bookmarkStart w:id="35" w:name="_Toc24730"/>
      <w:bookmarkStart w:id="36" w:name="_Toc14717"/>
      <w:r>
        <w:t>1.信息化管理水平进一步提升</w:t>
      </w:r>
      <w:bookmarkEnd w:id="35"/>
      <w:bookmarkEnd w:id="36"/>
    </w:p>
    <w:p>
      <w:pPr>
        <w:ind w:firstLine="640" w:firstLineChars="200"/>
        <w:rPr>
          <w:rFonts w:eastAsia="仿宋_GB2312"/>
          <w:sz w:val="32"/>
          <w:szCs w:val="32"/>
        </w:rPr>
      </w:pPr>
      <w:r>
        <w:rPr>
          <w:rFonts w:eastAsia="仿宋_GB2312"/>
          <w:sz w:val="32"/>
          <w:szCs w:val="32"/>
        </w:rPr>
        <w:t>伊吾县利用固体废物综合信息管理平台，将全县涉工业固体废物产生、处置企业逐步纳入系统管理；同时</w:t>
      </w:r>
      <w:r>
        <w:rPr>
          <w:rFonts w:hint="eastAsia" w:eastAsia="仿宋_GB2312"/>
          <w:sz w:val="32"/>
          <w:szCs w:val="32"/>
          <w:lang w:val="en-US" w:eastAsia="zh-CN"/>
        </w:rPr>
        <w:t>要求</w:t>
      </w:r>
      <w:r>
        <w:rPr>
          <w:rFonts w:eastAsia="仿宋_GB2312"/>
          <w:sz w:val="32"/>
          <w:szCs w:val="32"/>
        </w:rPr>
        <w:t>园区重点产废单位录入危废专项整治系统，督促相关单位落实危险废物污染防治的主体责任，实行全覆盖全过程信息化环境监管，指导企业严格落实规范化管理要求。</w:t>
      </w:r>
    </w:p>
    <w:p>
      <w:pPr>
        <w:pStyle w:val="5"/>
        <w:ind w:firstLine="643"/>
      </w:pPr>
      <w:bookmarkStart w:id="37" w:name="_Toc15976"/>
      <w:bookmarkStart w:id="38" w:name="_Toc18521"/>
      <w:r>
        <w:t>2.专项整治行动取得阶段性成效</w:t>
      </w:r>
      <w:bookmarkEnd w:id="37"/>
      <w:bookmarkEnd w:id="38"/>
    </w:p>
    <w:p>
      <w:pPr>
        <w:ind w:firstLine="640" w:firstLineChars="200"/>
        <w:rPr>
          <w:rFonts w:eastAsia="仿宋_GB2312"/>
          <w:sz w:val="32"/>
          <w:szCs w:val="32"/>
        </w:rPr>
      </w:pPr>
      <w:r>
        <w:rPr>
          <w:rFonts w:eastAsia="仿宋_GB2312"/>
          <w:sz w:val="32"/>
          <w:szCs w:val="32"/>
        </w:rPr>
        <w:t>伊吾县持续开展危险废物排查整治专项行动等一系列专项行动，重拳打击非法转移、倾倒、处置工业危险废物污染环境犯罪行为，环境违法行为逐年减少。</w:t>
      </w:r>
    </w:p>
    <w:p>
      <w:pPr>
        <w:pStyle w:val="5"/>
        <w:ind w:firstLine="643"/>
      </w:pPr>
      <w:bookmarkStart w:id="39" w:name="_Toc14194"/>
      <w:bookmarkStart w:id="40" w:name="_Toc16044"/>
      <w:r>
        <w:t>3.环境风险和应急水平稳步提升</w:t>
      </w:r>
      <w:bookmarkEnd w:id="39"/>
      <w:bookmarkEnd w:id="40"/>
    </w:p>
    <w:p>
      <w:pPr>
        <w:ind w:firstLine="640" w:firstLineChars="200"/>
        <w:rPr>
          <w:rFonts w:eastAsia="仿宋_GB2312"/>
          <w:sz w:val="32"/>
          <w:szCs w:val="32"/>
        </w:rPr>
      </w:pPr>
      <w:r>
        <w:rPr>
          <w:rFonts w:eastAsia="仿宋_GB2312"/>
          <w:sz w:val="32"/>
          <w:szCs w:val="32"/>
        </w:rPr>
        <w:t>深入开展伊吾县工业固体废物堆存场所统计、现状调查、风险评估及管理对策项目等一系列工作，摸清工业固体废物产生处置现状；建立尾矿库“一库一档”环境风险管理档案，提升工业固体废物风险防控水平。</w:t>
      </w:r>
    </w:p>
    <w:p>
      <w:pPr>
        <w:pStyle w:val="5"/>
        <w:ind w:firstLine="643"/>
      </w:pPr>
      <w:bookmarkStart w:id="41" w:name="_Toc11814"/>
      <w:bookmarkStart w:id="42" w:name="_Toc173"/>
      <w:r>
        <w:t>4.重点行业企业监管不断强化</w:t>
      </w:r>
      <w:bookmarkEnd w:id="41"/>
      <w:bookmarkEnd w:id="42"/>
    </w:p>
    <w:p>
      <w:pPr>
        <w:pStyle w:val="9"/>
        <w:ind w:firstLine="640" w:firstLineChars="200"/>
        <w:rPr>
          <w:rFonts w:eastAsia="仿宋_GB2312"/>
        </w:rPr>
      </w:pPr>
      <w:r>
        <w:rPr>
          <w:rFonts w:eastAsia="仿宋_GB2312"/>
          <w:sz w:val="32"/>
          <w:szCs w:val="32"/>
        </w:rPr>
        <w:t>伊吾县对属于危险废物环境重点监管单位清单的建设项目环评文件编制质量进行抽查复核，发现危废产生种类、数量以及利用处置方式与环评文件严重不一致的，立即督促相关企业按现有法律法规等要求进行整改。</w:t>
      </w:r>
    </w:p>
    <w:p>
      <w:pPr>
        <w:pStyle w:val="4"/>
        <w:ind w:left="0"/>
      </w:pPr>
      <w:bookmarkStart w:id="43" w:name="_Toc29950"/>
      <w:bookmarkStart w:id="44" w:name="_Toc25262"/>
      <w:bookmarkStart w:id="45" w:name="_Toc6404"/>
      <w:bookmarkStart w:id="46" w:name="_Toc107387324"/>
      <w:r>
        <w:t>当前存在的问题</w:t>
      </w:r>
      <w:bookmarkEnd w:id="43"/>
      <w:bookmarkEnd w:id="44"/>
      <w:bookmarkEnd w:id="45"/>
      <w:bookmarkEnd w:id="46"/>
    </w:p>
    <w:p>
      <w:pPr>
        <w:pStyle w:val="5"/>
        <w:ind w:firstLine="643"/>
        <w:rPr>
          <w:rFonts w:eastAsia="仿宋_GB2312"/>
        </w:rPr>
      </w:pPr>
      <w:bookmarkStart w:id="47" w:name="_Toc20015"/>
      <w:bookmarkStart w:id="48" w:name="_Toc16331"/>
      <w:r>
        <w:rPr>
          <w:rFonts w:eastAsia="仿宋_GB2312"/>
        </w:rPr>
        <w:t>1.一般工业固体废物</w:t>
      </w:r>
      <w:bookmarkEnd w:id="47"/>
      <w:bookmarkEnd w:id="48"/>
    </w:p>
    <w:p>
      <w:pPr>
        <w:pStyle w:val="9"/>
        <w:ind w:firstLine="643" w:firstLineChars="200"/>
        <w:rPr>
          <w:rFonts w:eastAsia="仿宋_GB2312"/>
          <w:sz w:val="32"/>
          <w:szCs w:val="32"/>
        </w:rPr>
      </w:pPr>
      <w:r>
        <w:rPr>
          <w:rFonts w:eastAsia="仿宋_GB2312"/>
          <w:b/>
          <w:bCs/>
          <w:sz w:val="32"/>
          <w:szCs w:val="32"/>
        </w:rPr>
        <w:t>企业环保主体责任落实不够。</w:t>
      </w:r>
      <w:r>
        <w:rPr>
          <w:rFonts w:eastAsia="仿宋_GB2312"/>
          <w:sz w:val="32"/>
          <w:szCs w:val="32"/>
        </w:rPr>
        <w:t>相对于危险废物，一般工业固体废物对环境的危害性较小，部分企业管理人员存在“重危废、轻固废”的思想；部分小微工业企业仍存在将一般工业固体废物混入生活垃圾处理或委托个体户开展一般工业固体废物收运现象，污染防治主体责任落实不到位。</w:t>
      </w:r>
    </w:p>
    <w:p>
      <w:pPr>
        <w:pStyle w:val="10"/>
        <w:ind w:firstLine="643" w:firstLineChars="200"/>
      </w:pPr>
      <w:r>
        <w:rPr>
          <w:rFonts w:eastAsia="仿宋_GB2312"/>
          <w:b/>
          <w:bCs/>
          <w:sz w:val="32"/>
          <w:szCs w:val="32"/>
        </w:rPr>
        <w:t>部分一般工业固废底数不清。</w:t>
      </w:r>
      <w:r>
        <w:rPr>
          <w:rFonts w:eastAsia="仿宋_GB2312"/>
          <w:sz w:val="32"/>
          <w:szCs w:val="32"/>
        </w:rPr>
        <w:t>目前对规模以上企业、年产生量100吨及以上的一般工业固体废物产生企业信息掌握较多，小微工业企业产废情况数据采集不到位；农产品产业园等非化工园区一般固废产生情况不明，需要进一步完善固体废物统计制度，破解底数摸清难题。</w:t>
      </w:r>
    </w:p>
    <w:p>
      <w:pPr>
        <w:pStyle w:val="9"/>
        <w:ind w:firstLine="643" w:firstLineChars="200"/>
        <w:rPr>
          <w:rFonts w:eastAsia="仿宋_GB2312"/>
          <w:sz w:val="32"/>
          <w:szCs w:val="32"/>
        </w:rPr>
      </w:pPr>
      <w:r>
        <w:rPr>
          <w:rFonts w:eastAsia="仿宋_GB2312"/>
          <w:b/>
          <w:bCs/>
          <w:sz w:val="32"/>
          <w:szCs w:val="32"/>
        </w:rPr>
        <w:t>一般工业固体废物利用能力不足。</w:t>
      </w:r>
      <w:r>
        <w:rPr>
          <w:rFonts w:eastAsia="仿宋_GB2312"/>
          <w:sz w:val="32"/>
          <w:szCs w:val="32"/>
        </w:rPr>
        <w:t>目前伊吾县一般工业固体废物多以填埋方式处置，伊吾工业园区远离城市，外运成本较高，缺乏市场竞争力，加之自身利用体量有限，导致一般工业固体废物资源化利用率处于较低水平。</w:t>
      </w:r>
    </w:p>
    <w:p>
      <w:pPr>
        <w:pStyle w:val="9"/>
        <w:ind w:firstLine="643" w:firstLineChars="200"/>
        <w:rPr>
          <w:rFonts w:eastAsia="微软雅黑"/>
          <w:color w:val="333333"/>
          <w:sz w:val="19"/>
          <w:szCs w:val="19"/>
        </w:rPr>
      </w:pPr>
      <w:r>
        <w:rPr>
          <w:rFonts w:eastAsia="仿宋_GB2312"/>
          <w:b/>
          <w:bCs/>
          <w:sz w:val="32"/>
          <w:szCs w:val="32"/>
        </w:rPr>
        <w:t>信息化监管程度不高。</w:t>
      </w:r>
      <w:r>
        <w:rPr>
          <w:rFonts w:eastAsia="仿宋_GB2312"/>
          <w:sz w:val="32"/>
          <w:szCs w:val="32"/>
        </w:rPr>
        <w:t>目前一般工业固体废物管理处于信息化初级阶段，信息化程度不高，对产废单位的管理相对粗放，尚未实现对一般工业固体废物产生、贮存、运输、利用、处置等实时转运轨迹和视频监控等全过程管理。</w:t>
      </w:r>
    </w:p>
    <w:p>
      <w:pPr>
        <w:pStyle w:val="5"/>
        <w:ind w:firstLine="643"/>
        <w:rPr>
          <w:rFonts w:eastAsia="仿宋_GB2312"/>
        </w:rPr>
      </w:pPr>
      <w:bookmarkStart w:id="49" w:name="_Toc28033"/>
      <w:bookmarkStart w:id="50" w:name="_Toc25932"/>
      <w:r>
        <w:rPr>
          <w:rFonts w:eastAsia="仿宋_GB2312"/>
        </w:rPr>
        <w:t>2.危险废物</w:t>
      </w:r>
      <w:bookmarkEnd w:id="49"/>
      <w:bookmarkEnd w:id="50"/>
    </w:p>
    <w:p>
      <w:pPr>
        <w:pStyle w:val="17"/>
        <w:shd w:val="clear" w:color="auto" w:fill="FFFFFF"/>
        <w:spacing w:beforeAutospacing="0" w:afterAutospacing="0"/>
        <w:ind w:firstLine="643" w:firstLineChars="200"/>
        <w:rPr>
          <w:rFonts w:eastAsia="仿宋_GB2312"/>
          <w:kern w:val="2"/>
          <w:sz w:val="32"/>
          <w:szCs w:val="32"/>
        </w:rPr>
      </w:pPr>
      <w:r>
        <w:rPr>
          <w:rFonts w:eastAsia="仿宋_GB2312"/>
          <w:b/>
          <w:bCs/>
          <w:kern w:val="2"/>
          <w:sz w:val="32"/>
          <w:szCs w:val="32"/>
        </w:rPr>
        <w:t>工业危险废物产生量仍呈增长趋势。</w:t>
      </w:r>
      <w:r>
        <w:rPr>
          <w:rFonts w:eastAsia="仿宋_GB2312"/>
          <w:kern w:val="2"/>
          <w:sz w:val="32"/>
          <w:szCs w:val="32"/>
        </w:rPr>
        <w:t>随着经济发展和工业企业数量增加，工业危险废物产生量相应增加，逐年增长的危险废物产生量和日益严格的环境管理要求，导致伊吾县工业危险废物风险防控压力持续增大。</w:t>
      </w:r>
    </w:p>
    <w:p>
      <w:pPr>
        <w:pStyle w:val="17"/>
        <w:shd w:val="clear" w:color="auto" w:fill="FFFFFF"/>
        <w:spacing w:beforeAutospacing="0" w:afterAutospacing="0"/>
        <w:ind w:firstLine="643" w:firstLineChars="200"/>
        <w:rPr>
          <w:rFonts w:eastAsia="仿宋_GB2312"/>
          <w:kern w:val="2"/>
          <w:sz w:val="32"/>
          <w:szCs w:val="32"/>
          <w:lang w:val="zh-CN"/>
        </w:rPr>
      </w:pPr>
      <w:r>
        <w:rPr>
          <w:rFonts w:eastAsia="仿宋_GB2312"/>
          <w:b/>
          <w:bCs/>
          <w:kern w:val="2"/>
          <w:sz w:val="32"/>
          <w:szCs w:val="32"/>
          <w:lang w:val="zh-CN"/>
        </w:rPr>
        <w:t>小微工业企业危险废物收集转运存在短板。</w:t>
      </w:r>
      <w:r>
        <w:rPr>
          <w:rFonts w:eastAsia="仿宋_GB2312"/>
          <w:kern w:val="2"/>
          <w:sz w:val="32"/>
          <w:szCs w:val="32"/>
          <w:lang w:val="zh-CN"/>
        </w:rPr>
        <w:t>小微工业企业分布散、产废少，面临危险废物收集不及时、转运不顺畅、处置费用高、管理不规范等问题。</w:t>
      </w:r>
    </w:p>
    <w:p>
      <w:pPr>
        <w:pStyle w:val="17"/>
        <w:shd w:val="clear" w:color="auto" w:fill="FFFFFF"/>
        <w:spacing w:beforeAutospacing="0" w:afterAutospacing="0"/>
        <w:ind w:firstLine="643" w:firstLineChars="200"/>
        <w:rPr>
          <w:rFonts w:eastAsia="仿宋_GB2312"/>
          <w:kern w:val="2"/>
          <w:sz w:val="32"/>
          <w:szCs w:val="32"/>
        </w:rPr>
      </w:pPr>
      <w:r>
        <w:rPr>
          <w:rFonts w:eastAsia="仿宋_GB2312"/>
          <w:b/>
          <w:bCs/>
          <w:kern w:val="2"/>
          <w:sz w:val="32"/>
          <w:szCs w:val="32"/>
        </w:rPr>
        <w:t>工业危险废物利用处置能力与需求不平衡</w:t>
      </w:r>
      <w:r>
        <w:rPr>
          <w:rFonts w:eastAsia="仿宋_GB2312"/>
          <w:kern w:val="2"/>
          <w:sz w:val="32"/>
          <w:szCs w:val="32"/>
        </w:rPr>
        <w:t>。</w:t>
      </w:r>
      <w:r>
        <w:rPr>
          <w:rFonts w:eastAsia="仿宋_GB2312"/>
          <w:sz w:val="32"/>
          <w:szCs w:val="32"/>
        </w:rPr>
        <w:t>伊吾县危险废物经营单位仅有3家，可处理危险废物类别少，处理能力也远小于辖区危险废物产生量，危险废物处置基本依托伊吾县外的设施资源，自身实际处置能力和种类有限</w:t>
      </w:r>
      <w:r>
        <w:rPr>
          <w:rFonts w:eastAsia="仿宋_GB2312"/>
          <w:kern w:val="2"/>
          <w:sz w:val="32"/>
          <w:szCs w:val="32"/>
        </w:rPr>
        <w:t>。</w:t>
      </w:r>
    </w:p>
    <w:p>
      <w:pPr>
        <w:pStyle w:val="17"/>
        <w:shd w:val="clear" w:color="auto" w:fill="FFFFFF"/>
        <w:spacing w:beforeAutospacing="0" w:afterAutospacing="0"/>
        <w:ind w:firstLine="643" w:firstLineChars="200"/>
        <w:rPr>
          <w:rFonts w:eastAsia="微软雅黑"/>
          <w:color w:val="333333"/>
          <w:sz w:val="19"/>
          <w:szCs w:val="19"/>
        </w:rPr>
      </w:pPr>
      <w:r>
        <w:rPr>
          <w:rFonts w:eastAsia="仿宋_GB2312"/>
          <w:b/>
          <w:bCs/>
          <w:kern w:val="2"/>
          <w:sz w:val="32"/>
          <w:szCs w:val="32"/>
        </w:rPr>
        <w:t>危险废物智慧监管水平不满足形势所需</w:t>
      </w:r>
      <w:r>
        <w:rPr>
          <w:rFonts w:eastAsia="仿宋_GB2312"/>
          <w:kern w:val="2"/>
          <w:sz w:val="32"/>
          <w:szCs w:val="32"/>
        </w:rPr>
        <w:t>。危险废物环境管理专业性强，危险废物产生量大、点多、面广，而伊吾县环保人员不足，危险废物环保管理水平有待提高，亟需利用大数据、物联网等科技手段全面提升危险废物精细化、网格化、信息化监管能力，实现智慧监管。</w:t>
      </w:r>
    </w:p>
    <w:p>
      <w:pPr>
        <w:pStyle w:val="4"/>
        <w:ind w:left="0"/>
        <w:rPr>
          <w:lang w:val="zh-CN"/>
        </w:rPr>
      </w:pPr>
      <w:bookmarkStart w:id="51" w:name="_Toc3778"/>
      <w:bookmarkStart w:id="52" w:name="_Toc29764"/>
      <w:bookmarkStart w:id="53" w:name="_Toc27111"/>
      <w:r>
        <w:t>形势</w:t>
      </w:r>
      <w:r>
        <w:rPr>
          <w:lang w:val="zh-CN"/>
        </w:rPr>
        <w:t>与</w:t>
      </w:r>
      <w:bookmarkEnd w:id="51"/>
      <w:r>
        <w:t>机遇</w:t>
      </w:r>
      <w:bookmarkEnd w:id="52"/>
      <w:bookmarkEnd w:id="53"/>
    </w:p>
    <w:p>
      <w:pPr>
        <w:ind w:firstLine="640" w:firstLineChars="200"/>
        <w:rPr>
          <w:rFonts w:eastAsia="仿宋_GB2312"/>
          <w:sz w:val="32"/>
          <w:szCs w:val="32"/>
          <w:lang w:val="zh-CN"/>
        </w:rPr>
      </w:pPr>
      <w:r>
        <w:rPr>
          <w:rFonts w:eastAsia="仿宋_GB2312"/>
          <w:sz w:val="32"/>
          <w:szCs w:val="32"/>
          <w:lang w:val="zh-CN"/>
        </w:rPr>
        <w:t>“十四五”时期是实现生态文明建设新进步的五年，是深入打好污染防治攻坚战、实现生态环境质量改善由量变到质变的关键五年，固体废物污染环境防治工作面临新形势新要求新挑战。</w:t>
      </w:r>
    </w:p>
    <w:p>
      <w:pPr>
        <w:ind w:firstLine="640" w:firstLineChars="200"/>
        <w:rPr>
          <w:rFonts w:eastAsia="仿宋_GB2312"/>
          <w:sz w:val="32"/>
          <w:szCs w:val="32"/>
          <w:lang w:val="zh-CN"/>
        </w:rPr>
      </w:pPr>
      <w:r>
        <w:rPr>
          <w:rFonts w:eastAsia="仿宋_GB2312"/>
          <w:sz w:val="32"/>
          <w:szCs w:val="32"/>
          <w:lang w:val="zh-CN"/>
        </w:rPr>
        <w:t>习近平总书记指出，实现碳达峰、碳中和是中国向世界作出的庄严承诺，也是一场广泛而深刻的经济社会变革。实施重点行业减污降碳行动，推广低碳技术的研发应用，实现绿色制造技术突破，将从根本上减少工业固体废物产生强度，同时推动生态环境治理模式从末端向源头、从单因子控制向协同控制转变，为从根本上提升工业固体废物资源化利用水平提供有利条件。</w:t>
      </w:r>
    </w:p>
    <w:p>
      <w:pPr>
        <w:ind w:firstLine="640" w:firstLineChars="200"/>
        <w:rPr>
          <w:rFonts w:eastAsia="仿宋_GB2312"/>
          <w:sz w:val="32"/>
          <w:szCs w:val="32"/>
          <w:lang w:val="zh-CN"/>
        </w:rPr>
      </w:pPr>
      <w:r>
        <w:rPr>
          <w:rFonts w:eastAsia="仿宋_GB2312"/>
          <w:sz w:val="32"/>
          <w:szCs w:val="32"/>
          <w:lang w:val="zh-CN"/>
        </w:rPr>
        <w:t>《伊吾县国民经济和社会发展第十四个五年规划和2035年远景目标纲要》指出，</w:t>
      </w:r>
      <w:r>
        <w:rPr>
          <w:rFonts w:eastAsia="仿宋_GB2312"/>
          <w:sz w:val="32"/>
          <w:szCs w:val="32"/>
        </w:rPr>
        <w:t>伊吾县将大力推进现代煤化工、精细化工、农副产品深加工等重点领域产业技术改造升级</w:t>
      </w:r>
      <w:r>
        <w:rPr>
          <w:rFonts w:eastAsia="仿宋_GB2312"/>
          <w:sz w:val="32"/>
          <w:szCs w:val="32"/>
          <w:lang w:val="zh-CN"/>
        </w:rPr>
        <w:t>，</w:t>
      </w:r>
      <w:r>
        <w:rPr>
          <w:rFonts w:eastAsia="仿宋_GB2312"/>
          <w:sz w:val="32"/>
          <w:szCs w:val="32"/>
        </w:rPr>
        <w:t>发展壮大新能源产业和新材料产业，推进循环经济发展。</w:t>
      </w:r>
      <w:r>
        <w:rPr>
          <w:rFonts w:eastAsia="仿宋_GB2312"/>
          <w:sz w:val="32"/>
          <w:szCs w:val="32"/>
          <w:lang w:val="zh-CN"/>
        </w:rPr>
        <w:t>在此发展背景下，我</w:t>
      </w:r>
      <w:r>
        <w:rPr>
          <w:rFonts w:eastAsia="仿宋_GB2312"/>
          <w:sz w:val="32"/>
          <w:szCs w:val="32"/>
        </w:rPr>
        <w:t>县</w:t>
      </w:r>
      <w:r>
        <w:rPr>
          <w:rFonts w:eastAsia="仿宋_GB2312"/>
          <w:sz w:val="32"/>
          <w:szCs w:val="32"/>
          <w:lang w:val="zh-CN"/>
        </w:rPr>
        <w:t>工业结构将趋向平衡发展，重工业一般工业固体废物产生量将不再大幅增加。</w:t>
      </w:r>
      <w:r>
        <w:rPr>
          <w:rFonts w:eastAsia="仿宋_GB2312"/>
          <w:sz w:val="32"/>
          <w:szCs w:val="32"/>
        </w:rPr>
        <w:t>此后</w:t>
      </w:r>
      <w:r>
        <w:rPr>
          <w:rFonts w:eastAsia="仿宋_GB2312"/>
          <w:sz w:val="32"/>
          <w:szCs w:val="32"/>
          <w:lang w:val="zh-CN"/>
        </w:rPr>
        <w:t>我</w:t>
      </w:r>
      <w:r>
        <w:rPr>
          <w:rFonts w:eastAsia="仿宋_GB2312"/>
          <w:sz w:val="32"/>
          <w:szCs w:val="32"/>
        </w:rPr>
        <w:t>县</w:t>
      </w:r>
      <w:r>
        <w:rPr>
          <w:rFonts w:eastAsia="仿宋_GB2312"/>
          <w:sz w:val="32"/>
          <w:szCs w:val="32"/>
          <w:lang w:val="zh-CN"/>
        </w:rPr>
        <w:t>一般工业固体废物产生强度将呈现逐年降低的趋势，同时一般工业固体废物资源化利用率将实现更高的标准，为</w:t>
      </w:r>
      <w:r>
        <w:rPr>
          <w:rFonts w:eastAsia="仿宋_GB2312"/>
          <w:sz w:val="32"/>
          <w:szCs w:val="32"/>
        </w:rPr>
        <w:t>伊吾县</w:t>
      </w:r>
      <w:r>
        <w:rPr>
          <w:rFonts w:eastAsia="仿宋_GB2312"/>
          <w:sz w:val="32"/>
          <w:szCs w:val="32"/>
          <w:lang w:val="zh-CN"/>
        </w:rPr>
        <w:t>的高质量发展提供有力支持。</w:t>
      </w:r>
    </w:p>
    <w:p>
      <w:pPr>
        <w:ind w:firstLine="640" w:firstLineChars="200"/>
        <w:rPr>
          <w:rFonts w:eastAsia="仿宋_GB2312"/>
          <w:lang w:val="zh-CN"/>
        </w:rPr>
      </w:pPr>
      <w:r>
        <w:rPr>
          <w:rFonts w:eastAsia="仿宋_GB2312"/>
          <w:sz w:val="32"/>
          <w:szCs w:val="32"/>
        </w:rPr>
        <w:t>伊吾县县委、县政府</w:t>
      </w:r>
      <w:r>
        <w:rPr>
          <w:rFonts w:eastAsia="仿宋_GB2312"/>
          <w:sz w:val="32"/>
          <w:szCs w:val="32"/>
          <w:lang w:val="zh-CN"/>
        </w:rPr>
        <w:t>将</w:t>
      </w:r>
      <w:r>
        <w:rPr>
          <w:rFonts w:eastAsia="仿宋_GB2312"/>
          <w:sz w:val="32"/>
          <w:szCs w:val="32"/>
        </w:rPr>
        <w:t>以支持哈密市</w:t>
      </w:r>
      <w:r>
        <w:rPr>
          <w:rFonts w:eastAsia="仿宋_GB2312"/>
          <w:sz w:val="32"/>
          <w:szCs w:val="32"/>
          <w:lang w:val="zh-CN"/>
        </w:rPr>
        <w:t>“无废城市”建设作为打好污染防治攻坚战、深化提升美丽</w:t>
      </w:r>
      <w:r>
        <w:rPr>
          <w:rFonts w:eastAsia="仿宋_GB2312"/>
          <w:sz w:val="32"/>
          <w:szCs w:val="32"/>
        </w:rPr>
        <w:t>伊吾</w:t>
      </w:r>
      <w:r>
        <w:rPr>
          <w:rFonts w:eastAsia="仿宋_GB2312"/>
          <w:sz w:val="32"/>
          <w:szCs w:val="32"/>
          <w:lang w:val="zh-CN"/>
        </w:rPr>
        <w:t>建设的重要载体。“无废城市”建设积极推动固体废物利用处置向精细化、专业化、规模化、现代化方向发展，探索构建工业固体废物污染环境防治新格局，加快推进工业</w:t>
      </w:r>
      <w:r>
        <w:rPr>
          <w:rFonts w:eastAsia="仿宋_GB2312"/>
          <w:sz w:val="32"/>
          <w:szCs w:val="32"/>
        </w:rPr>
        <w:t>固体</w:t>
      </w:r>
      <w:r>
        <w:rPr>
          <w:rFonts w:eastAsia="仿宋_GB2312"/>
          <w:sz w:val="32"/>
          <w:szCs w:val="32"/>
          <w:lang w:val="zh-CN"/>
        </w:rPr>
        <w:t>废物污染治理工作向数字化转型。</w:t>
      </w:r>
    </w:p>
    <w:p>
      <w:pPr>
        <w:pStyle w:val="3"/>
        <w:ind w:firstLine="640"/>
        <w:sectPr>
          <w:footerReference r:id="rId5" w:type="default"/>
          <w:pgSz w:w="11906" w:h="16838"/>
          <w:pgMar w:top="1440" w:right="1800" w:bottom="1440" w:left="1800" w:header="720" w:footer="720" w:gutter="0"/>
          <w:pgNumType w:start="1"/>
          <w:cols w:space="720" w:num="1"/>
          <w:docGrid w:type="lines" w:linePitch="312" w:charSpace="0"/>
        </w:sectPr>
      </w:pPr>
      <w:bookmarkStart w:id="54" w:name="_Toc23837"/>
      <w:bookmarkStart w:id="55" w:name="_Toc107387329"/>
    </w:p>
    <w:p>
      <w:pPr>
        <w:pStyle w:val="3"/>
        <w:ind w:firstLine="640"/>
      </w:pPr>
      <w:bookmarkStart w:id="56" w:name="_Toc9742"/>
      <w:bookmarkStart w:id="57" w:name="_Toc8672"/>
      <w:r>
        <w:t>第二章 总体要求</w:t>
      </w:r>
      <w:bookmarkEnd w:id="54"/>
      <w:bookmarkEnd w:id="55"/>
      <w:bookmarkEnd w:id="56"/>
      <w:bookmarkEnd w:id="57"/>
    </w:p>
    <w:p>
      <w:pPr>
        <w:pStyle w:val="4"/>
        <w:numPr>
          <w:ilvl w:val="0"/>
          <w:numId w:val="2"/>
        </w:numPr>
        <w:ind w:left="0"/>
      </w:pPr>
      <w:bookmarkStart w:id="58" w:name="_Toc22464"/>
      <w:bookmarkStart w:id="59" w:name="_Toc31498"/>
      <w:bookmarkStart w:id="60" w:name="_Toc107387330"/>
      <w:bookmarkStart w:id="61" w:name="_Toc17204"/>
      <w:r>
        <w:t>指导思想</w:t>
      </w:r>
      <w:bookmarkEnd w:id="58"/>
      <w:bookmarkEnd w:id="59"/>
      <w:bookmarkEnd w:id="60"/>
      <w:bookmarkEnd w:id="61"/>
    </w:p>
    <w:p>
      <w:pPr>
        <w:ind w:firstLine="640" w:firstLineChars="200"/>
        <w:jc w:val="left"/>
        <w:rPr>
          <w:rFonts w:eastAsia="仿宋_GB2312"/>
        </w:rPr>
      </w:pPr>
      <w:r>
        <w:rPr>
          <w:rFonts w:eastAsia="仿宋_GB2312"/>
          <w:sz w:val="32"/>
          <w:szCs w:val="32"/>
        </w:rPr>
        <w:t>以习近平生态文明思想为指导，认真落实党的二十大和习近平全国生态环保大会讲话精神，落实第三次中央新疆工作座谈会精神和自治区第十次党代会精神，全面落实自治区、哈密市关于固体废物污染防治各项决策部署，坚持“绿水青山就是金山银山”的发展理念，坚持“科学治废、依法治废、精准治废、数字治废”，打好打赢“清废攻坚战”。以</w:t>
      </w:r>
      <w:r>
        <w:rPr>
          <w:rFonts w:eastAsia="仿宋_GB2312"/>
          <w:sz w:val="32"/>
          <w:szCs w:val="32"/>
          <w:lang w:eastAsia="zh-Hans"/>
        </w:rPr>
        <w:t>提高资源利用效率</w:t>
      </w:r>
      <w:r>
        <w:rPr>
          <w:rFonts w:eastAsia="仿宋_GB2312"/>
          <w:sz w:val="32"/>
          <w:szCs w:val="32"/>
        </w:rPr>
        <w:t>为核心，以有效防范环境风险为目标，落实哈密市“无废城市”建设相关要求，</w:t>
      </w:r>
      <w:r>
        <w:rPr>
          <w:rFonts w:eastAsia="仿宋_GB2312"/>
          <w:sz w:val="32"/>
          <w:szCs w:val="32"/>
          <w:lang w:eastAsia="zh-Hans"/>
        </w:rPr>
        <w:t>全面提升工业固体废物资源综合利用水平，尽快构建从产生、贮存、转运到利用和处置全过程的工业固体废物管理体系</w:t>
      </w:r>
      <w:r>
        <w:rPr>
          <w:rFonts w:eastAsia="仿宋_GB2312"/>
          <w:sz w:val="32"/>
          <w:szCs w:val="32"/>
        </w:rPr>
        <w:t>，为实现危险废物“减量化、资源化、无害化”的目标提供坚实保障。</w:t>
      </w:r>
    </w:p>
    <w:p>
      <w:pPr>
        <w:pStyle w:val="4"/>
        <w:ind w:left="0"/>
      </w:pPr>
      <w:bookmarkStart w:id="62" w:name="_Toc25002"/>
      <w:bookmarkStart w:id="63" w:name="_Toc12922"/>
      <w:bookmarkStart w:id="64" w:name="_Toc29617"/>
      <w:bookmarkStart w:id="65" w:name="_Toc107387331"/>
      <w:r>
        <w:t>基本原则</w:t>
      </w:r>
      <w:bookmarkEnd w:id="62"/>
      <w:bookmarkEnd w:id="63"/>
      <w:bookmarkEnd w:id="64"/>
      <w:bookmarkEnd w:id="65"/>
    </w:p>
    <w:p>
      <w:pPr>
        <w:pStyle w:val="5"/>
        <w:ind w:firstLine="643"/>
        <w:rPr>
          <w:rFonts w:eastAsia="仿宋_GB2312"/>
          <w:bCs w:val="0"/>
        </w:rPr>
      </w:pPr>
      <w:bookmarkStart w:id="66" w:name="_Toc12957"/>
      <w:bookmarkStart w:id="67" w:name="_Toc11266"/>
      <w:r>
        <w:rPr>
          <w:rFonts w:eastAsia="仿宋_GB2312"/>
          <w:bCs w:val="0"/>
        </w:rPr>
        <w:t>1.科学布局，就近处置</w:t>
      </w:r>
      <w:bookmarkEnd w:id="66"/>
      <w:bookmarkEnd w:id="67"/>
    </w:p>
    <w:p>
      <w:pPr>
        <w:ind w:firstLine="640" w:firstLineChars="200"/>
        <w:rPr>
          <w:rFonts w:eastAsia="仿宋_GB2312"/>
          <w:sz w:val="32"/>
          <w:szCs w:val="32"/>
        </w:rPr>
      </w:pPr>
      <w:r>
        <w:rPr>
          <w:rFonts w:eastAsia="仿宋_GB2312"/>
          <w:sz w:val="32"/>
          <w:szCs w:val="32"/>
        </w:rPr>
        <w:t>结合本辖区危险废物和一般工业固体废物产生情况及处置能力实际，严控长距离运输，构建处置设施体系，着力提升一般工业固体废物综合利用水平，保障危险废物安全规范处置。</w:t>
      </w:r>
    </w:p>
    <w:p>
      <w:pPr>
        <w:pStyle w:val="5"/>
        <w:ind w:firstLine="643"/>
        <w:rPr>
          <w:rFonts w:eastAsia="仿宋_GB2312"/>
          <w:bCs w:val="0"/>
        </w:rPr>
      </w:pPr>
      <w:bookmarkStart w:id="68" w:name="_Toc20518"/>
      <w:bookmarkStart w:id="69" w:name="_Toc20638"/>
      <w:r>
        <w:rPr>
          <w:rFonts w:eastAsia="仿宋_GB2312"/>
          <w:bCs w:val="0"/>
        </w:rPr>
        <w:t>2.能力匹配，适度竞争</w:t>
      </w:r>
      <w:bookmarkEnd w:id="68"/>
      <w:bookmarkEnd w:id="69"/>
    </w:p>
    <w:p>
      <w:pPr>
        <w:ind w:firstLine="640" w:firstLineChars="200"/>
        <w:rPr>
          <w:rFonts w:eastAsia="仿宋_GB2312"/>
          <w:sz w:val="32"/>
          <w:szCs w:val="32"/>
        </w:rPr>
      </w:pPr>
      <w:r>
        <w:rPr>
          <w:rFonts w:eastAsia="仿宋_GB2312"/>
          <w:sz w:val="32"/>
          <w:szCs w:val="32"/>
        </w:rPr>
        <w:t>加大利用处置设施投入力度，实现辖区内一般工业固体废物产生量与利用处置量能力相匹配。严格控制低水平或同类固体废物处置设施的重复建设，综合考虑市场需求，政策适当干预，保持适度竞争。对点源产生量小、分布广的危险废物，依托小微企业危废收贮运中心，实现收集服务的全覆盖。</w:t>
      </w:r>
    </w:p>
    <w:p>
      <w:pPr>
        <w:pStyle w:val="5"/>
        <w:ind w:firstLine="643"/>
        <w:rPr>
          <w:rFonts w:eastAsia="仿宋_GB2312"/>
          <w:bCs w:val="0"/>
        </w:rPr>
      </w:pPr>
      <w:bookmarkStart w:id="70" w:name="_Toc27968"/>
      <w:bookmarkStart w:id="71" w:name="_Toc15650"/>
      <w:r>
        <w:rPr>
          <w:rFonts w:eastAsia="仿宋_GB2312"/>
          <w:bCs w:val="0"/>
        </w:rPr>
        <w:t>3.示范先行，稳步推动</w:t>
      </w:r>
      <w:bookmarkEnd w:id="70"/>
      <w:bookmarkEnd w:id="71"/>
    </w:p>
    <w:p>
      <w:pPr>
        <w:pStyle w:val="9"/>
        <w:ind w:firstLine="640" w:firstLineChars="200"/>
        <w:rPr>
          <w:rFonts w:eastAsia="仿宋_GB2312"/>
        </w:rPr>
      </w:pPr>
      <w:r>
        <w:rPr>
          <w:rFonts w:eastAsia="仿宋_GB2312"/>
          <w:sz w:val="32"/>
          <w:szCs w:val="32"/>
        </w:rPr>
        <w:t>工业固体废物的最终处置必须有足够的符合环境保护要求的集中处理处置设施，加强示范引导，形成一批特色鲜明、技术先进、利用量大的综合利用基地、产业园区、骨干企业，建设一批高标准、规模化的处理处置设施，稳步推进固体废物处理处置。</w:t>
      </w:r>
    </w:p>
    <w:p>
      <w:pPr>
        <w:pStyle w:val="5"/>
        <w:ind w:firstLine="643"/>
        <w:rPr>
          <w:rFonts w:eastAsia="仿宋_GB2312"/>
          <w:bCs w:val="0"/>
        </w:rPr>
      </w:pPr>
      <w:bookmarkStart w:id="72" w:name="_Toc26600"/>
      <w:bookmarkStart w:id="73" w:name="_Toc30678"/>
      <w:r>
        <w:rPr>
          <w:rFonts w:eastAsia="仿宋_GB2312"/>
          <w:bCs w:val="0"/>
        </w:rPr>
        <w:t>4.政府引导，市场主导</w:t>
      </w:r>
      <w:bookmarkEnd w:id="72"/>
      <w:bookmarkEnd w:id="73"/>
    </w:p>
    <w:p>
      <w:pPr>
        <w:ind w:firstLine="643"/>
        <w:rPr>
          <w:rFonts w:hint="eastAsia" w:eastAsia="仿宋_GB2312"/>
          <w:sz w:val="32"/>
          <w:szCs w:val="32"/>
          <w:lang w:eastAsia="zh-CN"/>
        </w:rPr>
      </w:pPr>
      <w:r>
        <w:rPr>
          <w:rFonts w:eastAsia="仿宋_GB2312"/>
          <w:sz w:val="32"/>
          <w:szCs w:val="32"/>
        </w:rPr>
        <w:t>坚持政府引导管理和市场主导相结合，加强政府对绿色设计、绿色供应链建设和固体废物处理处置的事中事后监管，激发市场主体活力和创新动力，提升工业体系绿色化水平和固体废物综合管理水平和处理处置水平</w:t>
      </w:r>
      <w:r>
        <w:rPr>
          <w:rFonts w:hint="eastAsia" w:eastAsia="仿宋_GB2312"/>
          <w:sz w:val="32"/>
          <w:szCs w:val="32"/>
          <w:lang w:eastAsia="zh-CN"/>
        </w:rPr>
        <w:t>。</w:t>
      </w:r>
    </w:p>
    <w:p>
      <w:pPr>
        <w:pStyle w:val="4"/>
        <w:ind w:left="0"/>
      </w:pPr>
      <w:bookmarkStart w:id="74" w:name="_Toc10573"/>
      <w:bookmarkStart w:id="75" w:name="_Toc107387332"/>
      <w:bookmarkStart w:id="76" w:name="_Toc5105"/>
      <w:bookmarkStart w:id="77" w:name="_Toc22676"/>
      <w:r>
        <w:t>主要目标</w:t>
      </w:r>
      <w:bookmarkEnd w:id="74"/>
      <w:bookmarkEnd w:id="75"/>
      <w:bookmarkEnd w:id="76"/>
      <w:bookmarkEnd w:id="77"/>
    </w:p>
    <w:p>
      <w:pPr>
        <w:ind w:firstLine="640" w:firstLineChars="200"/>
        <w:rPr>
          <w:rFonts w:eastAsia="仿宋_GB2312"/>
          <w:sz w:val="32"/>
          <w:szCs w:val="32"/>
        </w:rPr>
      </w:pPr>
      <w:r>
        <w:rPr>
          <w:rFonts w:eastAsia="仿宋_GB2312"/>
          <w:sz w:val="32"/>
          <w:szCs w:val="32"/>
        </w:rPr>
        <w:t>到2025年，伊吾县工业固体废物治理体系进一步完善，尾矿、粉煤灰、炉渣等一般工业固体废物综合利用率达到80%以上，产生强度逐年下降，力争消纳历史贮存；建立起较完善的危险废物收集转运体系，建成一批基础条件好、管理水平高的危险废物利用处置设施，为全县主要危险废物利用处置提供保障，确保工业危险废物利用处置率100%。</w:t>
      </w:r>
    </w:p>
    <w:tbl>
      <w:tblPr>
        <w:tblStyle w:val="20"/>
        <w:tblW w:w="885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1578"/>
        <w:gridCol w:w="615"/>
        <w:gridCol w:w="4712"/>
        <w:gridCol w:w="873"/>
        <w:gridCol w:w="10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tblHeader/>
          <w:jc w:val="center"/>
        </w:trPr>
        <w:tc>
          <w:tcPr>
            <w:tcW w:w="8853" w:type="dxa"/>
            <w:gridSpan w:val="5"/>
            <w:vAlign w:val="center"/>
          </w:tcPr>
          <w:p>
            <w:pPr>
              <w:jc w:val="center"/>
              <w:rPr>
                <w:rFonts w:eastAsia="仿宋_GB2312"/>
                <w:sz w:val="24"/>
                <w:szCs w:val="24"/>
              </w:rPr>
            </w:pPr>
            <w:bookmarkStart w:id="78" w:name="_Toc26084"/>
            <w:r>
              <w:rPr>
                <w:rFonts w:eastAsia="仿宋_GB2312"/>
                <w:b/>
                <w:bCs/>
                <w:sz w:val="28"/>
                <w:szCs w:val="28"/>
              </w:rPr>
              <w:t xml:space="preserve">专栏1 </w:t>
            </w:r>
            <w:r>
              <w:rPr>
                <w:rFonts w:eastAsia="仿宋_GB2312"/>
                <w:b/>
                <w:bCs/>
                <w:spacing w:val="-3"/>
                <w:sz w:val="28"/>
                <w:szCs w:val="28"/>
              </w:rPr>
              <w:t>伊吾县工业固体废物污染防治主要目标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tblHeader/>
          <w:jc w:val="center"/>
        </w:trPr>
        <w:tc>
          <w:tcPr>
            <w:tcW w:w="1578" w:type="dxa"/>
            <w:vAlign w:val="center"/>
          </w:tcPr>
          <w:p>
            <w:pPr>
              <w:jc w:val="center"/>
              <w:rPr>
                <w:rFonts w:eastAsia="仿宋_GB2312"/>
                <w:sz w:val="24"/>
                <w:szCs w:val="24"/>
              </w:rPr>
            </w:pPr>
            <w:r>
              <w:rPr>
                <w:rFonts w:eastAsia="仿宋_GB2312"/>
                <w:sz w:val="24"/>
                <w:szCs w:val="24"/>
              </w:rPr>
              <w:t>目标类别</w:t>
            </w:r>
          </w:p>
        </w:tc>
        <w:tc>
          <w:tcPr>
            <w:tcW w:w="615" w:type="dxa"/>
            <w:vAlign w:val="center"/>
          </w:tcPr>
          <w:p>
            <w:pPr>
              <w:jc w:val="center"/>
              <w:rPr>
                <w:rFonts w:eastAsia="仿宋_GB2312"/>
                <w:sz w:val="24"/>
                <w:szCs w:val="24"/>
              </w:rPr>
            </w:pPr>
            <w:r>
              <w:rPr>
                <w:rFonts w:eastAsia="仿宋_GB2312"/>
                <w:sz w:val="24"/>
                <w:szCs w:val="24"/>
              </w:rPr>
              <w:t>序号</w:t>
            </w:r>
          </w:p>
        </w:tc>
        <w:tc>
          <w:tcPr>
            <w:tcW w:w="4712" w:type="dxa"/>
            <w:vAlign w:val="center"/>
          </w:tcPr>
          <w:p>
            <w:pPr>
              <w:jc w:val="center"/>
              <w:rPr>
                <w:rFonts w:eastAsia="仿宋_GB2312"/>
                <w:sz w:val="24"/>
                <w:szCs w:val="24"/>
              </w:rPr>
            </w:pPr>
            <w:r>
              <w:rPr>
                <w:rFonts w:eastAsia="仿宋_GB2312"/>
                <w:sz w:val="24"/>
                <w:szCs w:val="24"/>
              </w:rPr>
              <w:t>具  体  目  标</w:t>
            </w:r>
          </w:p>
        </w:tc>
        <w:tc>
          <w:tcPr>
            <w:tcW w:w="873" w:type="dxa"/>
            <w:vAlign w:val="center"/>
          </w:tcPr>
          <w:p>
            <w:pPr>
              <w:jc w:val="center"/>
              <w:rPr>
                <w:rFonts w:eastAsia="仿宋_GB2312"/>
                <w:sz w:val="24"/>
                <w:szCs w:val="24"/>
              </w:rPr>
            </w:pPr>
            <w:r>
              <w:rPr>
                <w:rFonts w:eastAsia="仿宋_GB2312"/>
                <w:sz w:val="24"/>
                <w:szCs w:val="24"/>
              </w:rPr>
              <w:t>2022年</w:t>
            </w:r>
          </w:p>
        </w:tc>
        <w:tc>
          <w:tcPr>
            <w:tcW w:w="1075" w:type="dxa"/>
            <w:vAlign w:val="center"/>
          </w:tcPr>
          <w:p>
            <w:pPr>
              <w:jc w:val="center"/>
              <w:rPr>
                <w:rFonts w:eastAsia="仿宋_GB2312"/>
                <w:sz w:val="24"/>
                <w:szCs w:val="24"/>
              </w:rPr>
            </w:pPr>
            <w:r>
              <w:rPr>
                <w:rFonts w:eastAsia="仿宋_GB2312"/>
                <w:sz w:val="24"/>
                <w:szCs w:val="24"/>
              </w:rPr>
              <w:t>2025年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578" w:type="dxa"/>
            <w:tcBorders>
              <w:bottom w:val="single" w:color="auto" w:sz="4" w:space="0"/>
            </w:tcBorders>
            <w:vAlign w:val="center"/>
          </w:tcPr>
          <w:p>
            <w:pPr>
              <w:jc w:val="center"/>
              <w:rPr>
                <w:rFonts w:eastAsia="仿宋_GB2312"/>
                <w:sz w:val="24"/>
                <w:szCs w:val="24"/>
              </w:rPr>
            </w:pPr>
            <w:r>
              <w:rPr>
                <w:rFonts w:eastAsia="仿宋_GB2312"/>
                <w:sz w:val="24"/>
                <w:szCs w:val="24"/>
              </w:rPr>
              <w:t>减量化目标</w:t>
            </w:r>
          </w:p>
        </w:tc>
        <w:tc>
          <w:tcPr>
            <w:tcW w:w="615" w:type="dxa"/>
            <w:tcBorders>
              <w:bottom w:val="single" w:color="auto" w:sz="4" w:space="0"/>
            </w:tcBorders>
            <w:vAlign w:val="center"/>
          </w:tcPr>
          <w:p>
            <w:pPr>
              <w:pStyle w:val="32"/>
              <w:numPr>
                <w:ilvl w:val="0"/>
                <w:numId w:val="3"/>
              </w:numPr>
              <w:ind w:left="0" w:firstLine="0" w:firstLineChars="0"/>
              <w:jc w:val="center"/>
              <w:rPr>
                <w:rFonts w:eastAsia="仿宋_GB2312"/>
                <w:kern w:val="0"/>
                <w:sz w:val="24"/>
                <w:szCs w:val="24"/>
              </w:rPr>
            </w:pPr>
          </w:p>
        </w:tc>
        <w:tc>
          <w:tcPr>
            <w:tcW w:w="4712" w:type="dxa"/>
            <w:tcBorders>
              <w:bottom w:val="single" w:color="auto" w:sz="4" w:space="0"/>
            </w:tcBorders>
            <w:vAlign w:val="center"/>
          </w:tcPr>
          <w:p>
            <w:pPr>
              <w:rPr>
                <w:rFonts w:eastAsia="仿宋_GB2312"/>
                <w:sz w:val="24"/>
                <w:szCs w:val="24"/>
              </w:rPr>
            </w:pPr>
            <w:r>
              <w:rPr>
                <w:rFonts w:eastAsia="仿宋_GB2312"/>
                <w:sz w:val="24"/>
                <w:szCs w:val="24"/>
              </w:rPr>
              <w:t>一般工业固体废物产生强度</w:t>
            </w:r>
          </w:p>
        </w:tc>
        <w:tc>
          <w:tcPr>
            <w:tcW w:w="873" w:type="dxa"/>
            <w:tcBorders>
              <w:bottom w:val="single" w:color="auto" w:sz="4" w:space="0"/>
            </w:tcBorders>
            <w:vAlign w:val="center"/>
          </w:tcPr>
          <w:p>
            <w:pPr>
              <w:jc w:val="center"/>
              <w:rPr>
                <w:rFonts w:eastAsia="仿宋_GB2312"/>
                <w:sz w:val="24"/>
                <w:szCs w:val="24"/>
              </w:rPr>
            </w:pPr>
            <w:r>
              <w:rPr>
                <w:rFonts w:eastAsia="仿宋_GB2312"/>
                <w:sz w:val="24"/>
                <w:szCs w:val="24"/>
              </w:rPr>
              <w:t>负增长</w:t>
            </w:r>
          </w:p>
        </w:tc>
        <w:tc>
          <w:tcPr>
            <w:tcW w:w="1075" w:type="dxa"/>
            <w:tcBorders>
              <w:bottom w:val="single" w:color="auto" w:sz="4" w:space="0"/>
            </w:tcBorders>
            <w:vAlign w:val="center"/>
          </w:tcPr>
          <w:p>
            <w:pPr>
              <w:jc w:val="center"/>
              <w:rPr>
                <w:rFonts w:eastAsia="仿宋_GB2312"/>
                <w:sz w:val="24"/>
                <w:szCs w:val="24"/>
              </w:rPr>
            </w:pPr>
            <w:r>
              <w:rPr>
                <w:rFonts w:eastAsia="仿宋_GB2312"/>
                <w:sz w:val="24"/>
                <w:szCs w:val="24"/>
              </w:rPr>
              <w:t>负增长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578" w:type="dxa"/>
            <w:vMerge w:val="restart"/>
            <w:tcBorders>
              <w:top w:val="single" w:color="auto" w:sz="4" w:space="0"/>
            </w:tcBorders>
            <w:vAlign w:val="center"/>
          </w:tcPr>
          <w:p>
            <w:pPr>
              <w:jc w:val="center"/>
              <w:rPr>
                <w:rFonts w:eastAsia="仿宋_GB2312"/>
                <w:sz w:val="24"/>
                <w:szCs w:val="24"/>
              </w:rPr>
            </w:pPr>
            <w:r>
              <w:rPr>
                <w:rFonts w:eastAsia="仿宋_GB2312"/>
                <w:sz w:val="24"/>
                <w:szCs w:val="24"/>
              </w:rPr>
              <w:t>资源化目标</w:t>
            </w:r>
          </w:p>
        </w:tc>
        <w:tc>
          <w:tcPr>
            <w:tcW w:w="615" w:type="dxa"/>
            <w:tcBorders>
              <w:top w:val="single" w:color="auto" w:sz="4" w:space="0"/>
              <w:bottom w:val="single" w:color="auto" w:sz="4" w:space="0"/>
            </w:tcBorders>
            <w:vAlign w:val="center"/>
          </w:tcPr>
          <w:p>
            <w:pPr>
              <w:pStyle w:val="32"/>
              <w:numPr>
                <w:ilvl w:val="0"/>
                <w:numId w:val="3"/>
              </w:numPr>
              <w:ind w:left="0" w:firstLine="0" w:firstLineChars="0"/>
              <w:jc w:val="center"/>
              <w:rPr>
                <w:rFonts w:eastAsia="仿宋_GB2312"/>
                <w:kern w:val="0"/>
                <w:sz w:val="24"/>
                <w:szCs w:val="24"/>
              </w:rPr>
            </w:pPr>
          </w:p>
        </w:tc>
        <w:tc>
          <w:tcPr>
            <w:tcW w:w="4712" w:type="dxa"/>
            <w:tcBorders>
              <w:top w:val="single" w:color="auto" w:sz="4" w:space="0"/>
              <w:bottom w:val="single" w:color="auto" w:sz="4" w:space="0"/>
            </w:tcBorders>
            <w:vAlign w:val="center"/>
          </w:tcPr>
          <w:p>
            <w:pPr>
              <w:rPr>
                <w:rFonts w:eastAsia="仿宋_GB2312"/>
                <w:sz w:val="24"/>
                <w:szCs w:val="24"/>
              </w:rPr>
            </w:pPr>
            <w:r>
              <w:rPr>
                <w:rFonts w:eastAsia="仿宋_GB2312"/>
                <w:sz w:val="24"/>
                <w:szCs w:val="24"/>
              </w:rPr>
              <w:t>一般工业固体废物综合利用率</w:t>
            </w:r>
          </w:p>
        </w:tc>
        <w:tc>
          <w:tcPr>
            <w:tcW w:w="873" w:type="dxa"/>
            <w:tcBorders>
              <w:top w:val="single" w:color="auto" w:sz="4" w:space="0"/>
              <w:bottom w:val="single" w:color="auto" w:sz="4" w:space="0"/>
            </w:tcBorders>
            <w:vAlign w:val="center"/>
          </w:tcPr>
          <w:p>
            <w:pPr>
              <w:jc w:val="center"/>
              <w:rPr>
                <w:rFonts w:eastAsia="仿宋_GB2312"/>
                <w:sz w:val="24"/>
                <w:szCs w:val="24"/>
              </w:rPr>
            </w:pPr>
            <w:r>
              <w:rPr>
                <w:rFonts w:eastAsia="仿宋_GB2312"/>
                <w:sz w:val="24"/>
                <w:szCs w:val="24"/>
              </w:rPr>
              <w:t>/</w:t>
            </w:r>
          </w:p>
        </w:tc>
        <w:tc>
          <w:tcPr>
            <w:tcW w:w="1075" w:type="dxa"/>
            <w:tcBorders>
              <w:top w:val="single" w:color="auto" w:sz="4" w:space="0"/>
              <w:bottom w:val="single" w:color="auto" w:sz="4" w:space="0"/>
            </w:tcBorders>
            <w:vAlign w:val="center"/>
          </w:tcPr>
          <w:p>
            <w:pPr>
              <w:jc w:val="center"/>
              <w:rPr>
                <w:rFonts w:eastAsia="仿宋_GB2312"/>
                <w:sz w:val="24"/>
                <w:szCs w:val="24"/>
              </w:rPr>
            </w:pPr>
            <w:r>
              <w:rPr>
                <w:rFonts w:eastAsia="仿宋_GB2312"/>
                <w:sz w:val="24"/>
                <w:szCs w:val="24"/>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578" w:type="dxa"/>
            <w:vMerge w:val="continue"/>
            <w:tcBorders>
              <w:bottom w:val="single" w:color="auto" w:sz="6" w:space="0"/>
            </w:tcBorders>
            <w:vAlign w:val="center"/>
          </w:tcPr>
          <w:p>
            <w:pPr>
              <w:jc w:val="center"/>
              <w:rPr>
                <w:rFonts w:eastAsia="仿宋_GB2312"/>
                <w:sz w:val="24"/>
                <w:szCs w:val="24"/>
              </w:rPr>
            </w:pPr>
          </w:p>
        </w:tc>
        <w:tc>
          <w:tcPr>
            <w:tcW w:w="615" w:type="dxa"/>
            <w:tcBorders>
              <w:top w:val="single" w:color="auto" w:sz="4" w:space="0"/>
              <w:bottom w:val="single" w:color="auto" w:sz="6" w:space="0"/>
            </w:tcBorders>
            <w:vAlign w:val="center"/>
          </w:tcPr>
          <w:p>
            <w:pPr>
              <w:pStyle w:val="32"/>
              <w:numPr>
                <w:ilvl w:val="0"/>
                <w:numId w:val="3"/>
              </w:numPr>
              <w:ind w:left="0" w:firstLine="0" w:firstLineChars="0"/>
              <w:jc w:val="center"/>
              <w:rPr>
                <w:rFonts w:eastAsia="仿宋_GB2312"/>
                <w:kern w:val="0"/>
                <w:sz w:val="24"/>
                <w:szCs w:val="24"/>
              </w:rPr>
            </w:pPr>
          </w:p>
        </w:tc>
        <w:tc>
          <w:tcPr>
            <w:tcW w:w="4712" w:type="dxa"/>
            <w:tcBorders>
              <w:top w:val="single" w:color="auto" w:sz="4" w:space="0"/>
              <w:bottom w:val="single" w:color="auto" w:sz="6" w:space="0"/>
            </w:tcBorders>
            <w:vAlign w:val="center"/>
          </w:tcPr>
          <w:p>
            <w:pPr>
              <w:rPr>
                <w:rFonts w:eastAsia="仿宋_GB2312"/>
                <w:sz w:val="24"/>
                <w:szCs w:val="24"/>
              </w:rPr>
            </w:pPr>
            <w:r>
              <w:rPr>
                <w:rFonts w:eastAsia="仿宋_GB2312"/>
                <w:sz w:val="24"/>
                <w:szCs w:val="24"/>
              </w:rPr>
              <w:t>工业危险废物利用处置率</w:t>
            </w:r>
          </w:p>
        </w:tc>
        <w:tc>
          <w:tcPr>
            <w:tcW w:w="873" w:type="dxa"/>
            <w:tcBorders>
              <w:top w:val="single" w:color="auto" w:sz="4" w:space="0"/>
              <w:bottom w:val="single" w:color="auto" w:sz="6" w:space="0"/>
            </w:tcBorders>
            <w:vAlign w:val="center"/>
          </w:tcPr>
          <w:p>
            <w:pPr>
              <w:jc w:val="center"/>
              <w:rPr>
                <w:rFonts w:eastAsia="仿宋_GB2312"/>
                <w:sz w:val="24"/>
                <w:szCs w:val="24"/>
              </w:rPr>
            </w:pPr>
            <w:r>
              <w:rPr>
                <w:rFonts w:eastAsia="仿宋_GB2312"/>
                <w:sz w:val="24"/>
                <w:szCs w:val="24"/>
              </w:rPr>
              <w:t>99.97%</w:t>
            </w:r>
          </w:p>
        </w:tc>
        <w:tc>
          <w:tcPr>
            <w:tcW w:w="1075" w:type="dxa"/>
            <w:tcBorders>
              <w:top w:val="single" w:color="auto" w:sz="4" w:space="0"/>
              <w:bottom w:val="single" w:color="auto" w:sz="6" w:space="0"/>
            </w:tcBorders>
            <w:vAlign w:val="center"/>
          </w:tcPr>
          <w:p>
            <w:pPr>
              <w:jc w:val="center"/>
              <w:rPr>
                <w:rFonts w:eastAsia="仿宋_GB2312"/>
                <w:sz w:val="24"/>
                <w:szCs w:val="24"/>
              </w:rPr>
            </w:pPr>
            <w:r>
              <w:rPr>
                <w:rFonts w:eastAsia="仿宋_GB2312"/>
                <w:sz w:val="24"/>
                <w:szCs w:val="24"/>
              </w:rPr>
              <w:t>100%</w:t>
            </w:r>
          </w:p>
        </w:tc>
      </w:tr>
    </w:tbl>
    <w:p>
      <w:pPr>
        <w:pStyle w:val="3"/>
        <w:ind w:firstLine="640"/>
        <w:sectPr>
          <w:pgSz w:w="11906" w:h="16838"/>
          <w:pgMar w:top="1440" w:right="1800" w:bottom="1440" w:left="1800" w:header="720" w:footer="720" w:gutter="0"/>
          <w:cols w:space="720" w:num="1"/>
          <w:docGrid w:type="lines" w:linePitch="312" w:charSpace="0"/>
        </w:sectPr>
      </w:pPr>
    </w:p>
    <w:p>
      <w:pPr>
        <w:pStyle w:val="3"/>
        <w:numPr>
          <w:ilvl w:val="0"/>
          <w:numId w:val="4"/>
        </w:numPr>
        <w:ind w:firstLine="640"/>
      </w:pPr>
      <w:bookmarkStart w:id="79" w:name="_Toc2349"/>
      <w:bookmarkStart w:id="80" w:name="_Toc8458"/>
      <w:r>
        <w:t>重点任务</w:t>
      </w:r>
      <w:bookmarkEnd w:id="78"/>
      <w:bookmarkEnd w:id="79"/>
      <w:bookmarkEnd w:id="80"/>
    </w:p>
    <w:p>
      <w:pPr>
        <w:pStyle w:val="4"/>
        <w:numPr>
          <w:ilvl w:val="0"/>
          <w:numId w:val="5"/>
        </w:numPr>
        <w:ind w:left="0"/>
      </w:pPr>
      <w:bookmarkStart w:id="81" w:name="_Toc5361"/>
      <w:bookmarkStart w:id="82" w:name="_Toc28650"/>
      <w:r>
        <w:t>一般工业固体废物任务措施</w:t>
      </w:r>
      <w:bookmarkEnd w:id="81"/>
      <w:bookmarkEnd w:id="82"/>
    </w:p>
    <w:p>
      <w:pPr>
        <w:pStyle w:val="5"/>
        <w:ind w:firstLine="643"/>
        <w:rPr>
          <w:rFonts w:eastAsia="仿宋_GB2312"/>
        </w:rPr>
      </w:pPr>
      <w:bookmarkStart w:id="83" w:name="_Toc5869"/>
      <w:bookmarkStart w:id="84" w:name="_Toc25461"/>
      <w:r>
        <w:rPr>
          <w:rFonts w:eastAsia="仿宋_GB2312"/>
        </w:rPr>
        <w:t>1.重视数据统计，建立管理清单</w:t>
      </w:r>
      <w:bookmarkEnd w:id="83"/>
      <w:bookmarkEnd w:id="84"/>
    </w:p>
    <w:p>
      <w:pPr>
        <w:ind w:firstLine="643" w:firstLineChars="200"/>
        <w:jc w:val="both"/>
        <w:rPr>
          <w:rFonts w:eastAsia="仿宋_GB2312"/>
          <w:kern w:val="0"/>
          <w:sz w:val="32"/>
          <w:szCs w:val="32"/>
          <w:lang w:bidi="ar"/>
        </w:rPr>
      </w:pPr>
      <w:r>
        <w:rPr>
          <w:rFonts w:eastAsia="仿宋_GB2312"/>
          <w:b/>
          <w:bCs/>
          <w:kern w:val="0"/>
          <w:sz w:val="32"/>
          <w:szCs w:val="32"/>
          <w:lang w:bidi="ar"/>
        </w:rPr>
        <w:t>抓好一般工业固体废物数据统计工作。</w:t>
      </w:r>
      <w:r>
        <w:rPr>
          <w:rFonts w:eastAsia="仿宋_GB2312"/>
          <w:kern w:val="0"/>
          <w:sz w:val="32"/>
          <w:szCs w:val="32"/>
          <w:lang w:bidi="ar"/>
        </w:rPr>
        <w:t>组织摸排辖区内一般工业固体废物的产生、收集、运输、处理处置单位，最大限度的找出未纳入生态环境监管的涉一般工业固体废物单位，形成一般工业固体废物基础信息清单。督促产废单位建立工业固体废物管理台账，如实记录工业固体废物的种类、数量、流向、贮存、利用、处置等信息，实现工业固体废物可追溯、可查询的目的，推动企业提升固体废物管理水平。</w:t>
      </w:r>
    </w:p>
    <w:p>
      <w:pPr>
        <w:ind w:firstLine="643" w:firstLineChars="200"/>
        <w:jc w:val="both"/>
        <w:rPr>
          <w:rFonts w:eastAsia="仿宋_GB2312"/>
          <w:kern w:val="0"/>
          <w:sz w:val="32"/>
          <w:szCs w:val="32"/>
          <w:lang w:bidi="ar"/>
        </w:rPr>
      </w:pPr>
      <w:r>
        <w:rPr>
          <w:rFonts w:eastAsia="仿宋_GB2312"/>
          <w:b/>
          <w:bCs/>
          <w:kern w:val="0"/>
          <w:sz w:val="32"/>
          <w:szCs w:val="32"/>
          <w:lang w:bidi="ar"/>
        </w:rPr>
        <w:t>抓好数据质量审核抽查。</w:t>
      </w:r>
      <w:r>
        <w:rPr>
          <w:rFonts w:eastAsia="仿宋_GB2312"/>
          <w:kern w:val="0"/>
          <w:sz w:val="32"/>
          <w:szCs w:val="32"/>
          <w:lang w:bidi="ar"/>
        </w:rPr>
        <w:t>组织相关单位或采购第三方对产废单位填报数据进行核查，确保填报数据的完整性、准确性。对存在明显差异的数据，要及时督促纠正，对拒不改正，刻意虚报、瞒报、谎报的，要严厉查处。</w:t>
      </w:r>
    </w:p>
    <w:p>
      <w:pPr>
        <w:ind w:firstLine="643" w:firstLineChars="200"/>
        <w:jc w:val="both"/>
        <w:rPr>
          <w:rFonts w:eastAsia="仿宋_GB2312"/>
          <w:kern w:val="0"/>
          <w:sz w:val="32"/>
          <w:szCs w:val="32"/>
          <w:lang w:bidi="ar"/>
        </w:rPr>
      </w:pPr>
      <w:r>
        <w:rPr>
          <w:rFonts w:eastAsia="仿宋_GB2312"/>
          <w:b/>
          <w:bCs/>
          <w:kern w:val="0"/>
          <w:sz w:val="32"/>
          <w:szCs w:val="32"/>
          <w:lang w:bidi="ar"/>
        </w:rPr>
        <w:t>建立一般工业固体废物规范化管理清单。</w:t>
      </w:r>
      <w:r>
        <w:rPr>
          <w:rFonts w:eastAsia="仿宋_GB2312"/>
          <w:kern w:val="0"/>
          <w:sz w:val="32"/>
          <w:szCs w:val="32"/>
          <w:lang w:bidi="ar"/>
        </w:rPr>
        <w:t>梳理相关企业数据，包括企业管理情况、生产工艺及产废情况、一般工业固废管理台账、贮存转移情况和环保手续执行情况等，指导企业制定规范化管理档案，同时以加强源头减量、规范申报管理、强化转移监管为抓手，切实提升监管水平，管好一般工业固体废物产生、收集、贮存、转移、利用、处置过程“一本账”</w:t>
      </w:r>
      <w:r>
        <w:rPr>
          <w:rFonts w:hint="eastAsia" w:eastAsia="仿宋_GB2312"/>
          <w:kern w:val="0"/>
          <w:sz w:val="32"/>
          <w:szCs w:val="32"/>
          <w:lang w:eastAsia="zh-CN" w:bidi="ar"/>
        </w:rPr>
        <w:t>，</w:t>
      </w:r>
      <w:r>
        <w:rPr>
          <w:rFonts w:hint="eastAsia" w:eastAsia="仿宋_GB2312"/>
          <w:kern w:val="0"/>
          <w:sz w:val="32"/>
          <w:szCs w:val="32"/>
          <w:lang w:bidi="ar"/>
        </w:rPr>
        <w:t>推进</w:t>
      </w:r>
      <w:r>
        <w:rPr>
          <w:rFonts w:hint="eastAsia" w:eastAsia="仿宋_GB2312"/>
          <w:kern w:val="0"/>
          <w:sz w:val="32"/>
          <w:szCs w:val="32"/>
          <w:lang w:val="en-US" w:eastAsia="zh-CN" w:bidi="ar"/>
        </w:rPr>
        <w:t>一般</w:t>
      </w:r>
      <w:r>
        <w:rPr>
          <w:rFonts w:hint="eastAsia" w:eastAsia="仿宋_GB2312"/>
          <w:kern w:val="0"/>
          <w:sz w:val="32"/>
          <w:szCs w:val="32"/>
          <w:lang w:bidi="ar"/>
        </w:rPr>
        <w:t>工业固体废物精细化、名录化环境管理</w:t>
      </w:r>
      <w:r>
        <w:rPr>
          <w:rFonts w:eastAsia="仿宋_GB2312"/>
          <w:kern w:val="0"/>
          <w:sz w:val="32"/>
          <w:szCs w:val="32"/>
          <w:lang w:bidi="ar"/>
        </w:rPr>
        <w:t>。</w:t>
      </w:r>
    </w:p>
    <w:p>
      <w:pPr>
        <w:ind w:firstLine="643" w:firstLineChars="200"/>
        <w:jc w:val="both"/>
        <w:rPr>
          <w:rFonts w:eastAsia="仿宋_GB2312"/>
          <w:kern w:val="0"/>
          <w:sz w:val="32"/>
          <w:szCs w:val="32"/>
          <w:lang w:bidi="ar"/>
        </w:rPr>
      </w:pPr>
      <w:r>
        <w:rPr>
          <w:rFonts w:hint="eastAsia" w:eastAsia="仿宋_GB2312"/>
          <w:b/>
          <w:bCs/>
          <w:kern w:val="0"/>
          <w:sz w:val="32"/>
          <w:szCs w:val="32"/>
          <w:lang w:val="en-US" w:eastAsia="zh-CN" w:bidi="ar"/>
        </w:rPr>
        <w:t>排</w:t>
      </w:r>
      <w:r>
        <w:rPr>
          <w:rFonts w:hint="eastAsia" w:eastAsia="仿宋_GB2312"/>
          <w:b/>
          <w:bCs/>
          <w:kern w:val="0"/>
          <w:sz w:val="32"/>
          <w:szCs w:val="32"/>
          <w:lang w:bidi="ar"/>
        </w:rPr>
        <w:t>查整治涉重金属矿区历史遗留固体废物。</w:t>
      </w:r>
      <w:r>
        <w:rPr>
          <w:rFonts w:hint="eastAsia" w:eastAsia="仿宋_GB2312"/>
          <w:kern w:val="0"/>
          <w:sz w:val="32"/>
          <w:szCs w:val="32"/>
          <w:lang w:bidi="ar"/>
        </w:rPr>
        <w:t>以矿产资源开发活动集中区域为重点，聚焦有色金属等矿区，综合应用卫星遥感、无人机和现场踏勘等方式，全面排查矿区无序堆存的历史遗留固体废物。根据排查结果及污染风险，建立分级分类环境管理制度，制定整治方案，分阶段治理，逐步消除隐患。</w:t>
      </w:r>
    </w:p>
    <w:p>
      <w:pPr>
        <w:pStyle w:val="5"/>
        <w:ind w:firstLine="643"/>
        <w:rPr>
          <w:rFonts w:eastAsia="仿宋_GB2312"/>
        </w:rPr>
      </w:pPr>
      <w:bookmarkStart w:id="85" w:name="_Toc7553"/>
      <w:bookmarkStart w:id="86" w:name="_Toc27348"/>
      <w:bookmarkStart w:id="87" w:name="_Toc9201"/>
      <w:r>
        <w:rPr>
          <w:rFonts w:eastAsia="仿宋_GB2312"/>
        </w:rPr>
        <w:t>2.加强一般工业固体废物领域源头减量</w:t>
      </w:r>
      <w:bookmarkEnd w:id="85"/>
      <w:bookmarkEnd w:id="86"/>
      <w:bookmarkEnd w:id="87"/>
    </w:p>
    <w:p>
      <w:pPr>
        <w:ind w:firstLine="643" w:firstLineChars="200"/>
        <w:rPr>
          <w:rFonts w:eastAsia="仿宋_GB2312"/>
          <w:kern w:val="0"/>
          <w:sz w:val="32"/>
          <w:szCs w:val="32"/>
        </w:rPr>
      </w:pPr>
      <w:r>
        <w:rPr>
          <w:rFonts w:eastAsia="仿宋_GB2312"/>
          <w:b/>
          <w:bCs/>
          <w:kern w:val="0"/>
          <w:sz w:val="32"/>
          <w:szCs w:val="32"/>
        </w:rPr>
        <w:t>严格建设项目准入管理。</w:t>
      </w:r>
      <w:r>
        <w:rPr>
          <w:rFonts w:eastAsia="仿宋_GB2312"/>
          <w:kern w:val="0"/>
          <w:sz w:val="32"/>
          <w:szCs w:val="32"/>
        </w:rPr>
        <w:t>以“三线一单”为抓手，严控高耗能、高排放项目盲目发展，大力发展绿色低碳产业，实现源头减量。按国家名录限期淘汰产生严重环境污染的工业固体废物的落后生产工艺设备。严格控制新建、扩建固体废物产生量大、区域难以实现有效综合利用和无害化处置的项目。严格按照建设项目环评及批复、危险废物管理计划要求落实固体废物减量化措施。多措并举推动工业固体废物产生</w:t>
      </w:r>
      <w:r>
        <w:rPr>
          <w:rFonts w:hint="eastAsia" w:eastAsia="仿宋_GB2312"/>
          <w:kern w:val="0"/>
          <w:sz w:val="32"/>
          <w:szCs w:val="32"/>
          <w:lang w:val="en-US" w:eastAsia="zh-CN"/>
        </w:rPr>
        <w:t>量</w:t>
      </w:r>
      <w:r>
        <w:rPr>
          <w:rFonts w:eastAsia="仿宋_GB2312"/>
          <w:kern w:val="0"/>
          <w:sz w:val="32"/>
          <w:szCs w:val="32"/>
        </w:rPr>
        <w:t>实现零增长或负增长。</w:t>
      </w:r>
    </w:p>
    <w:p>
      <w:pPr>
        <w:ind w:firstLine="643" w:firstLineChars="200"/>
        <w:rPr>
          <w:rFonts w:eastAsia="仿宋_GB2312"/>
          <w:kern w:val="0"/>
          <w:sz w:val="32"/>
          <w:szCs w:val="32"/>
        </w:rPr>
      </w:pPr>
      <w:r>
        <w:rPr>
          <w:rFonts w:eastAsia="仿宋_GB2312"/>
          <w:b/>
          <w:bCs/>
          <w:kern w:val="0"/>
          <w:sz w:val="32"/>
          <w:szCs w:val="32"/>
        </w:rPr>
        <w:t>鼓励开展减量化工艺技改。</w:t>
      </w:r>
      <w:r>
        <w:rPr>
          <w:rFonts w:eastAsia="仿宋_GB2312"/>
          <w:kern w:val="0"/>
          <w:sz w:val="32"/>
          <w:szCs w:val="32"/>
        </w:rPr>
        <w:t>强化全生命周期理念，推行工业产品绿色设计。开发、应用有利于减少工业固体废物产生量的生产工艺及废水、废气治理技术，开展固体废物减量化工艺改造。</w:t>
      </w:r>
    </w:p>
    <w:p>
      <w:pPr>
        <w:ind w:firstLine="643" w:firstLineChars="200"/>
        <w:rPr>
          <w:rFonts w:eastAsia="仿宋_GB2312"/>
          <w:kern w:val="0"/>
          <w:sz w:val="32"/>
          <w:szCs w:val="32"/>
        </w:rPr>
      </w:pPr>
      <w:r>
        <w:rPr>
          <w:rFonts w:eastAsia="仿宋_GB2312"/>
          <w:b/>
          <w:bCs/>
          <w:kern w:val="0"/>
          <w:sz w:val="32"/>
          <w:szCs w:val="32"/>
        </w:rPr>
        <w:t>稳步推进绿色矿山建设。</w:t>
      </w:r>
      <w:r>
        <w:rPr>
          <w:rFonts w:eastAsia="仿宋_GB2312"/>
          <w:kern w:val="0"/>
          <w:sz w:val="32"/>
          <w:szCs w:val="32"/>
        </w:rPr>
        <w:t>鼓励矿山企业积极开展绿色矿山创建，新建矿山按照绿色矿山标准进行规划、设计、建设和运营管理，既有生产矿山加强改造升级，加快达到绿色矿山建设要求。强化绿色矿山建设成效评估，鼓励矿山开采企业采取科学的开采方法和选矿工艺，源头减少废石和尾矿产生量，推动以实现无尾矿山为建设目标，鼓励矿山企业采用充填采矿法并优先采用尾矿充填采矿法，解决辖区尾矿堆存处置问题。建立“梯级回收+生态修复+封存保护”体系，持续推动绿色矿山建设。</w:t>
      </w:r>
    </w:p>
    <w:p>
      <w:pPr>
        <w:pStyle w:val="5"/>
        <w:ind w:firstLine="643"/>
        <w:rPr>
          <w:rFonts w:eastAsia="仿宋_GB2312"/>
        </w:rPr>
      </w:pPr>
      <w:bookmarkStart w:id="88" w:name="_Toc20933"/>
      <w:bookmarkStart w:id="89" w:name="_Toc17532"/>
      <w:bookmarkStart w:id="90" w:name="_Toc18763"/>
      <w:r>
        <w:rPr>
          <w:rFonts w:eastAsia="仿宋_GB2312"/>
        </w:rPr>
        <w:t>3.健全一般工业固废收贮运体系</w:t>
      </w:r>
      <w:bookmarkEnd w:id="88"/>
      <w:bookmarkEnd w:id="89"/>
      <w:bookmarkEnd w:id="90"/>
    </w:p>
    <w:p>
      <w:pPr>
        <w:ind w:firstLine="643" w:firstLineChars="200"/>
        <w:rPr>
          <w:rFonts w:eastAsia="仿宋_GB2312"/>
          <w:kern w:val="0"/>
          <w:sz w:val="32"/>
          <w:szCs w:val="32"/>
        </w:rPr>
      </w:pPr>
      <w:r>
        <w:rPr>
          <w:rFonts w:eastAsia="仿宋_GB2312"/>
          <w:b/>
          <w:bCs/>
          <w:kern w:val="0"/>
          <w:sz w:val="32"/>
          <w:szCs w:val="32"/>
        </w:rPr>
        <w:t>深化实施工业固体废物分类贮存。</w:t>
      </w:r>
      <w:r>
        <w:rPr>
          <w:rFonts w:eastAsia="仿宋_GB2312"/>
          <w:kern w:val="0"/>
          <w:sz w:val="32"/>
          <w:szCs w:val="32"/>
        </w:rPr>
        <w:t>严格落实《一般固体废物分类与代码》（GB/T 39198-2020）、《一般工业固体废物贮存和填埋污染控制标准》（GB 18599-2020）等工业固体废物贮存相关标准要求，加强企业工业固废分类贮存及贮存设施或场所规范化建设，落实一般固废台账记录、分类贮存、联单记录等制度，实现工业固体废物精细化分类和规范化处置。</w:t>
      </w:r>
    </w:p>
    <w:p>
      <w:pPr>
        <w:ind w:firstLine="643" w:firstLineChars="200"/>
        <w:rPr>
          <w:rFonts w:eastAsia="仿宋_GB2312"/>
          <w:kern w:val="0"/>
          <w:sz w:val="32"/>
          <w:szCs w:val="32"/>
        </w:rPr>
      </w:pPr>
      <w:r>
        <w:rPr>
          <w:rFonts w:eastAsia="仿宋_GB2312"/>
          <w:b/>
          <w:bCs/>
          <w:kern w:val="0"/>
          <w:sz w:val="32"/>
          <w:szCs w:val="32"/>
        </w:rPr>
        <w:t>探索一般工业固体废物收运体系建设。</w:t>
      </w:r>
      <w:r>
        <w:rPr>
          <w:rFonts w:eastAsia="仿宋_GB2312"/>
          <w:kern w:val="0"/>
          <w:sz w:val="32"/>
          <w:szCs w:val="32"/>
        </w:rPr>
        <w:t>鼓励第三方专业收集转运和利用处置单位开展低价值一般工业固体废物集中收运处置服务，建设区域性收集网点和贮存设施，打通包装物、边角料等低价值一般工业固体废物的回收渠道，解决小微企业一般工业固体废物运输难、无处置出路的问题。</w:t>
      </w:r>
    </w:p>
    <w:p>
      <w:pPr>
        <w:pStyle w:val="5"/>
        <w:ind w:firstLine="643"/>
        <w:rPr>
          <w:rFonts w:eastAsia="仿宋_GB2312"/>
        </w:rPr>
      </w:pPr>
      <w:bookmarkStart w:id="91" w:name="_Toc27760"/>
      <w:bookmarkStart w:id="92" w:name="_Toc20128"/>
      <w:bookmarkStart w:id="93" w:name="_Toc2346"/>
      <w:r>
        <w:rPr>
          <w:rFonts w:eastAsia="仿宋_GB2312"/>
        </w:rPr>
        <w:t>4.提升一般工业固废利用能力</w:t>
      </w:r>
      <w:bookmarkEnd w:id="91"/>
      <w:bookmarkEnd w:id="92"/>
      <w:bookmarkEnd w:id="93"/>
    </w:p>
    <w:p>
      <w:pPr>
        <w:tabs>
          <w:tab w:val="left" w:pos="508"/>
        </w:tabs>
        <w:ind w:firstLine="643" w:firstLineChars="200"/>
        <w:rPr>
          <w:rFonts w:eastAsia="仿宋_GB2312"/>
          <w:sz w:val="32"/>
          <w:szCs w:val="32"/>
        </w:rPr>
      </w:pPr>
      <w:r>
        <w:rPr>
          <w:rFonts w:eastAsia="仿宋_GB2312"/>
          <w:b/>
          <w:bCs/>
          <w:sz w:val="32"/>
          <w:szCs w:val="32"/>
        </w:rPr>
        <w:t>加强一般工业固体废物综合利用。</w:t>
      </w:r>
      <w:r>
        <w:rPr>
          <w:rFonts w:eastAsia="仿宋_GB2312"/>
          <w:sz w:val="32"/>
          <w:szCs w:val="32"/>
        </w:rPr>
        <w:t>大力发展循环经济，促进一般工业固体废物资源利用园区化、规模化和产业化，遵循“低碳化、循环化、清洁化、景观化”要求，统筹推进园区差异化发展，建设实现“资源-产品-再生资源”的闭路循环和资源梯次利用的国家级生态工业示范园区。</w:t>
      </w:r>
      <w:r>
        <w:rPr>
          <w:rFonts w:eastAsia="仿宋_GB2312"/>
          <w:kern w:val="0"/>
          <w:sz w:val="32"/>
          <w:szCs w:val="32"/>
        </w:rPr>
        <w:t>鼓励工业固体废物产生量大的企业在场内开展综合利用处置，严格落实固体废物动态化清零要求。</w:t>
      </w:r>
      <w:r>
        <w:rPr>
          <w:rFonts w:eastAsia="仿宋_GB2312"/>
          <w:sz w:val="32"/>
          <w:szCs w:val="32"/>
        </w:rPr>
        <w:t>对退役光伏组件、风电机组叶片等新兴产业的固体废物，探索规范回收以及可循环、高值化的再生利用途径。鼓励多产业协同利用，推进大宗固体废物综合利用产业与上游</w:t>
      </w:r>
      <w:r>
        <w:rPr>
          <w:rFonts w:hint="eastAsia" w:eastAsia="仿宋_GB2312"/>
          <w:sz w:val="32"/>
          <w:szCs w:val="32"/>
          <w:lang w:val="en-US" w:eastAsia="zh-CN"/>
        </w:rPr>
        <w:t>煤炭</w:t>
      </w:r>
      <w:r>
        <w:rPr>
          <w:rFonts w:eastAsia="仿宋_GB2312"/>
          <w:sz w:val="32"/>
          <w:szCs w:val="32"/>
        </w:rPr>
        <w:t>、黑色、有色</w:t>
      </w:r>
      <w:r>
        <w:rPr>
          <w:rFonts w:hint="eastAsia" w:eastAsia="仿宋_GB2312"/>
          <w:sz w:val="32"/>
          <w:szCs w:val="32"/>
          <w:lang w:eastAsia="zh-CN"/>
        </w:rPr>
        <w:t>、</w:t>
      </w:r>
      <w:r>
        <w:rPr>
          <w:rFonts w:eastAsia="仿宋_GB2312"/>
          <w:sz w:val="32"/>
          <w:szCs w:val="32"/>
        </w:rPr>
        <w:t>化工等产业协同发展，与下游建筑、建材、市政、交通、环境治理等产品应用领域深度融合，打通部门、行业间堵点和痛点。减少以焚烧、填埋等方式处置的固体废物量，提高一般工业固废综合利用率。</w:t>
      </w:r>
    </w:p>
    <w:p>
      <w:pPr>
        <w:tabs>
          <w:tab w:val="left" w:pos="508"/>
        </w:tabs>
        <w:ind w:firstLine="643" w:firstLineChars="200"/>
        <w:rPr>
          <w:rFonts w:ascii="Times New Roman" w:hAnsi="Times New Roman" w:eastAsia="仿宋_GB2312" w:cs="Times New Roman"/>
          <w:kern w:val="2"/>
          <w:sz w:val="32"/>
          <w:szCs w:val="32"/>
          <w:lang w:val="en-US" w:eastAsia="zh-CN" w:bidi="ar-SA"/>
        </w:rPr>
      </w:pPr>
      <w:r>
        <w:rPr>
          <w:rFonts w:eastAsia="仿宋_GB2312"/>
          <w:b/>
          <w:bCs/>
          <w:sz w:val="32"/>
          <w:szCs w:val="32"/>
        </w:rPr>
        <w:t>推进矿山企业循环发展。</w:t>
      </w:r>
      <w:r>
        <w:rPr>
          <w:rFonts w:hint="eastAsia" w:ascii="Times New Roman" w:hAnsi="Times New Roman" w:eastAsia="仿宋_GB2312" w:cs="Times New Roman"/>
          <w:kern w:val="2"/>
          <w:sz w:val="32"/>
          <w:szCs w:val="32"/>
          <w:lang w:val="en-US" w:eastAsia="zh-CN" w:bidi="ar-SA"/>
        </w:rPr>
        <w:t>严格新（改、扩）建尾矿库环境准入，实行总量控制。</w:t>
      </w:r>
      <w:r>
        <w:rPr>
          <w:rFonts w:eastAsia="仿宋_GB2312"/>
          <w:sz w:val="32"/>
          <w:szCs w:val="32"/>
        </w:rPr>
        <w:t>稳步推进金属尾矿有价组分高效提取及整体利用，提升煤矿、铁矿、铜矿、金矿等重点矿山资源利用效率。加强对低品位矿、共伴生矿、难选冶矿、尾矿、煤矸石等综合利用，推进有价组分高效提取利用。推动有价金属提取后剩余废渣的规模化利用。</w:t>
      </w:r>
      <w:r>
        <w:rPr>
          <w:rFonts w:hint="eastAsia" w:ascii="Times New Roman" w:hAnsi="Times New Roman" w:eastAsia="仿宋_GB2312" w:cs="Times New Roman"/>
          <w:kern w:val="2"/>
          <w:sz w:val="32"/>
          <w:szCs w:val="32"/>
          <w:lang w:val="en-US" w:eastAsia="zh-CN" w:bidi="ar-SA"/>
        </w:rPr>
        <w:t>坚持“一矿一策”，因地制宜推进重点尾矿库污染治理。建立尾矿库分级分类环境管理制度，加强尾矿库环境风险隐患排查治理。</w:t>
      </w:r>
    </w:p>
    <w:p>
      <w:pPr>
        <w:pStyle w:val="5"/>
        <w:ind w:firstLine="643"/>
        <w:rPr>
          <w:rFonts w:eastAsia="仿宋_GB2312"/>
        </w:rPr>
      </w:pPr>
      <w:bookmarkStart w:id="94" w:name="_Toc6648"/>
      <w:bookmarkStart w:id="95" w:name="_Toc25936"/>
      <w:r>
        <w:rPr>
          <w:rFonts w:eastAsia="仿宋_GB2312"/>
        </w:rPr>
        <w:t>5.完善一般工业固体废物监管制度体系</w:t>
      </w:r>
      <w:bookmarkEnd w:id="94"/>
      <w:bookmarkEnd w:id="95"/>
    </w:p>
    <w:p>
      <w:pPr>
        <w:ind w:firstLine="640"/>
        <w:rPr>
          <w:rFonts w:eastAsia="仿宋_GB2312"/>
          <w:sz w:val="32"/>
          <w:szCs w:val="32"/>
          <w:lang w:val="zh-CN"/>
        </w:rPr>
      </w:pPr>
      <w:r>
        <w:rPr>
          <w:rFonts w:eastAsia="仿宋_GB2312"/>
          <w:kern w:val="0"/>
          <w:sz w:val="32"/>
          <w:szCs w:val="32"/>
          <w:lang w:bidi="ar"/>
        </w:rPr>
        <w:t>严格执行一般工业固体废物申报登记制度、排污许可证制度，结合一般工业固体废物贮存处置场现状统计手段，全面推进一般工业固体废物产生、转移、处置等全过程环境监管。完善一般工业固体废物信息化监管机制，利用信息化管理手段，推进一般工业固体废物申报登记及台账电子化。</w:t>
      </w:r>
    </w:p>
    <w:p>
      <w:pPr>
        <w:pStyle w:val="4"/>
        <w:numPr>
          <w:ilvl w:val="0"/>
          <w:numId w:val="5"/>
        </w:numPr>
        <w:ind w:left="0"/>
      </w:pPr>
      <w:bookmarkStart w:id="96" w:name="_Toc21145"/>
      <w:bookmarkStart w:id="97" w:name="_Toc27897"/>
      <w:r>
        <w:t>危险废物任务措施</w:t>
      </w:r>
      <w:bookmarkEnd w:id="96"/>
      <w:bookmarkEnd w:id="97"/>
    </w:p>
    <w:p>
      <w:pPr>
        <w:pStyle w:val="5"/>
        <w:ind w:firstLine="643"/>
        <w:rPr>
          <w:rFonts w:eastAsia="仿宋_GB2312"/>
        </w:rPr>
      </w:pPr>
      <w:bookmarkStart w:id="98" w:name="_Toc9369"/>
      <w:bookmarkStart w:id="99" w:name="_Toc17567"/>
      <w:r>
        <w:rPr>
          <w:rFonts w:eastAsia="仿宋_GB2312"/>
        </w:rPr>
        <w:t>1.加强危险废物源头减量化</w:t>
      </w:r>
      <w:bookmarkEnd w:id="98"/>
      <w:bookmarkEnd w:id="99"/>
    </w:p>
    <w:p>
      <w:pPr>
        <w:ind w:firstLine="640" w:firstLineChars="200"/>
        <w:rPr>
          <w:rFonts w:eastAsia="仿宋_GB2312"/>
          <w:kern w:val="0"/>
          <w:sz w:val="32"/>
          <w:szCs w:val="32"/>
          <w:lang w:bidi="ar"/>
        </w:rPr>
      </w:pPr>
      <w:r>
        <w:rPr>
          <w:rFonts w:eastAsia="仿宋_GB2312"/>
          <w:kern w:val="0"/>
          <w:sz w:val="32"/>
          <w:szCs w:val="32"/>
          <w:lang w:bidi="ar"/>
        </w:rPr>
        <w:t>严格建设项目环境准入，涉危险废物的新改扩建项目要依法开展环境影响评价，严格危险废物污染防治设施“三同时”管理。依法依规对已批复的重点行业涉危险废物建设项目环境影响评价文件开展复核。依法落实工业危险废物排污许可制度。鼓励危险废物产废单位开展生产工艺和污染物排放处理工艺升级改造，促进危险废物源头减量。</w:t>
      </w:r>
    </w:p>
    <w:p>
      <w:pPr>
        <w:pStyle w:val="5"/>
        <w:ind w:firstLine="643"/>
        <w:rPr>
          <w:rFonts w:eastAsia="仿宋_GB2312"/>
        </w:rPr>
      </w:pPr>
      <w:bookmarkStart w:id="100" w:name="_Toc5917"/>
      <w:bookmarkStart w:id="101" w:name="_Toc24963"/>
      <w:r>
        <w:rPr>
          <w:rFonts w:eastAsia="仿宋_GB2312"/>
        </w:rPr>
        <w:t>2.推进危险废物收运体系建设</w:t>
      </w:r>
      <w:bookmarkEnd w:id="100"/>
      <w:bookmarkEnd w:id="101"/>
    </w:p>
    <w:p>
      <w:pPr>
        <w:ind w:firstLine="640" w:firstLineChars="200"/>
      </w:pPr>
      <w:r>
        <w:rPr>
          <w:rFonts w:eastAsia="仿宋_GB2312"/>
          <w:kern w:val="0"/>
          <w:sz w:val="32"/>
          <w:szCs w:val="32"/>
          <w:lang w:bidi="ar"/>
        </w:rPr>
        <w:t>开展危险废物集中收集贮存试点，提升小微企业、工业园区等危险废物收集转运能力。</w:t>
      </w:r>
      <w:r>
        <w:rPr>
          <w:rFonts w:eastAsia="仿宋_GB2312"/>
          <w:sz w:val="32"/>
          <w:szCs w:val="32"/>
        </w:rPr>
        <w:t>协助指导小微产废企业开展申报登记、管理计划备案、转移联单、信息系统填报等相关管理工作。</w:t>
      </w:r>
      <w:r>
        <w:rPr>
          <w:rFonts w:eastAsia="仿宋_GB2312"/>
          <w:kern w:val="0"/>
          <w:sz w:val="32"/>
          <w:szCs w:val="32"/>
          <w:lang w:bidi="ar"/>
        </w:rPr>
        <w:t>推进兵地统筹、区域合作，实现兵地间、区域间危险废物转移无缝衔接，探索建立危险废物跨区域转移处置补偿机制。</w:t>
      </w:r>
    </w:p>
    <w:p>
      <w:pPr>
        <w:pStyle w:val="5"/>
        <w:ind w:firstLine="643"/>
        <w:rPr>
          <w:rFonts w:eastAsia="仿宋_GB2312"/>
        </w:rPr>
      </w:pPr>
      <w:bookmarkStart w:id="102" w:name="_Toc24147"/>
      <w:bookmarkStart w:id="103" w:name="_Toc25442"/>
      <w:r>
        <w:rPr>
          <w:rFonts w:eastAsia="仿宋_GB2312"/>
        </w:rPr>
        <w:t>3.加强危险废物处置能力建设</w:t>
      </w:r>
      <w:bookmarkEnd w:id="102"/>
      <w:bookmarkEnd w:id="103"/>
    </w:p>
    <w:p>
      <w:pPr>
        <w:pStyle w:val="10"/>
        <w:ind w:firstLine="640" w:firstLineChars="200"/>
        <w:rPr>
          <w:rFonts w:eastAsia="仿宋_GB2312"/>
          <w:sz w:val="32"/>
          <w:szCs w:val="32"/>
        </w:rPr>
      </w:pPr>
      <w:r>
        <w:rPr>
          <w:rFonts w:eastAsia="仿宋_GB2312"/>
          <w:sz w:val="32"/>
          <w:szCs w:val="32"/>
        </w:rPr>
        <w:t>组织开展危险废物产生、利用处置能力和设施运行情况评估，科学规划并实施危险废物集中处置设施建设，将危废处置项目及规范管理纳入当地公共基础设施统筹建设。鼓励大型化工等产业基地配套建设危险废物利用处置设施，</w:t>
      </w:r>
      <w:r>
        <w:rPr>
          <w:rFonts w:eastAsia="仿宋_GB2312"/>
          <w:kern w:val="0"/>
          <w:sz w:val="32"/>
          <w:szCs w:val="32"/>
          <w:lang w:bidi="ar"/>
        </w:rPr>
        <w:t>支持大型企业集团内部共享危险废物利用处置设施</w:t>
      </w:r>
      <w:r>
        <w:rPr>
          <w:rFonts w:eastAsia="仿宋_GB2312"/>
          <w:sz w:val="32"/>
          <w:szCs w:val="32"/>
        </w:rPr>
        <w:t>。鼓励产生量大、种类单一的企业和园区配套建设危险废物收集贮存、预处理和处置设施，淘汰一批工艺落后、不符合标准规范的设施，提标改造一批设施，规范管理一批设施。</w:t>
      </w:r>
    </w:p>
    <w:p>
      <w:pPr>
        <w:pStyle w:val="5"/>
        <w:ind w:firstLine="643"/>
        <w:rPr>
          <w:rFonts w:eastAsia="仿宋_GB2312"/>
        </w:rPr>
      </w:pPr>
      <w:bookmarkStart w:id="104" w:name="_Toc28776"/>
      <w:bookmarkStart w:id="105" w:name="_Toc15112"/>
      <w:r>
        <w:rPr>
          <w:rFonts w:eastAsia="仿宋_GB2312"/>
        </w:rPr>
        <w:t>4.强化危险废物全过程环境监管</w:t>
      </w:r>
      <w:bookmarkEnd w:id="104"/>
      <w:bookmarkEnd w:id="105"/>
    </w:p>
    <w:p>
      <w:pPr>
        <w:ind w:firstLine="640" w:firstLineChars="200"/>
        <w:rPr>
          <w:rFonts w:eastAsia="仿宋_GB2312"/>
          <w:kern w:val="0"/>
          <w:sz w:val="32"/>
          <w:szCs w:val="32"/>
          <w:lang w:bidi="ar"/>
        </w:rPr>
      </w:pPr>
      <w:r>
        <w:rPr>
          <w:rFonts w:eastAsia="仿宋_GB2312"/>
          <w:kern w:val="0"/>
          <w:sz w:val="32"/>
          <w:szCs w:val="32"/>
          <w:lang w:bidi="ar"/>
        </w:rPr>
        <w:t>建立健全各类危险废物重点监管单位清单，全面实行危险废物清单化管理。督促各类危险废物产生单位和经营单位依法申报危险废物产生处置情况，报备管理计划，做好信息公开工作，规范运行危险废物转移联单。严格执行《国家危险废物名录》，加强危险废物经营许可、跨省转移以及危险废物鉴别等工作。加强危险废物环境监管机构和人才队伍建设，提升危险废物监管能力、鉴别能力与应急处置技术支持能力。</w:t>
      </w:r>
    </w:p>
    <w:p>
      <w:pPr>
        <w:pStyle w:val="5"/>
        <w:ind w:firstLine="643"/>
        <w:rPr>
          <w:rFonts w:eastAsia="仿宋_GB2312"/>
          <w:lang w:val="zh-CN"/>
        </w:rPr>
      </w:pPr>
      <w:bookmarkStart w:id="106" w:name="_Toc30479"/>
      <w:bookmarkStart w:id="107" w:name="_Toc10150"/>
      <w:r>
        <w:rPr>
          <w:rFonts w:eastAsia="仿宋_GB2312"/>
        </w:rPr>
        <w:t>5.</w:t>
      </w:r>
      <w:r>
        <w:rPr>
          <w:rFonts w:eastAsia="仿宋_GB2312"/>
          <w:lang w:val="zh-CN"/>
        </w:rPr>
        <w:t>严厉打击</w:t>
      </w:r>
      <w:r>
        <w:rPr>
          <w:rFonts w:eastAsia="仿宋_GB2312"/>
        </w:rPr>
        <w:t>危险</w:t>
      </w:r>
      <w:r>
        <w:rPr>
          <w:rFonts w:eastAsia="仿宋_GB2312"/>
          <w:lang w:val="zh-CN"/>
        </w:rPr>
        <w:t>废物环境违法行为</w:t>
      </w:r>
      <w:bookmarkEnd w:id="106"/>
      <w:bookmarkEnd w:id="107"/>
    </w:p>
    <w:p>
      <w:pPr>
        <w:ind w:firstLine="640" w:firstLineChars="200"/>
        <w:rPr>
          <w:rFonts w:eastAsia="仿宋_GB2312"/>
          <w:kern w:val="0"/>
          <w:sz w:val="32"/>
          <w:szCs w:val="32"/>
          <w:lang w:val="zh-CN" w:bidi="ar"/>
        </w:rPr>
      </w:pPr>
      <w:r>
        <w:rPr>
          <w:rFonts w:eastAsia="仿宋_GB2312"/>
          <w:kern w:val="0"/>
          <w:sz w:val="32"/>
          <w:szCs w:val="32"/>
          <w:lang w:val="zh-CN" w:bidi="ar"/>
        </w:rPr>
        <w:t>将</w:t>
      </w:r>
      <w:r>
        <w:rPr>
          <w:rFonts w:eastAsia="仿宋_GB2312"/>
          <w:kern w:val="0"/>
          <w:sz w:val="32"/>
          <w:szCs w:val="32"/>
          <w:lang w:bidi="ar"/>
        </w:rPr>
        <w:t>危险废物</w:t>
      </w:r>
      <w:r>
        <w:rPr>
          <w:rFonts w:eastAsia="仿宋_GB2312"/>
          <w:kern w:val="0"/>
          <w:sz w:val="32"/>
          <w:szCs w:val="32"/>
          <w:lang w:val="zh-CN" w:bidi="ar"/>
        </w:rPr>
        <w:t>日常环境监管作为环境执法“双随机、一公开”重要内容，强化行政执法与刑事司法、检察公益诉讼的协调联动，实施违法有奖举报制度，鼓励全民参与。</w:t>
      </w:r>
    </w:p>
    <w:p>
      <w:pPr>
        <w:spacing w:line="240" w:lineRule="auto"/>
        <w:ind w:firstLine="640" w:firstLineChars="200"/>
        <w:rPr>
          <w:rFonts w:eastAsia="仿宋_GB2312"/>
          <w:kern w:val="0"/>
          <w:sz w:val="32"/>
          <w:szCs w:val="32"/>
          <w:lang w:val="zh-CN" w:bidi="ar"/>
        </w:rPr>
      </w:pPr>
      <w:r>
        <w:rPr>
          <w:rFonts w:eastAsia="仿宋_GB2312"/>
          <w:kern w:val="0"/>
          <w:sz w:val="32"/>
          <w:szCs w:val="32"/>
          <w:lang w:val="zh-CN" w:bidi="ar"/>
        </w:rPr>
        <w:t>持续开展</w:t>
      </w:r>
      <w:r>
        <w:rPr>
          <w:rFonts w:eastAsia="仿宋_GB2312"/>
          <w:kern w:val="0"/>
          <w:sz w:val="32"/>
          <w:szCs w:val="32"/>
          <w:lang w:bidi="ar"/>
        </w:rPr>
        <w:t>危险废物</w:t>
      </w:r>
      <w:r>
        <w:rPr>
          <w:rFonts w:eastAsia="仿宋_GB2312"/>
          <w:kern w:val="0"/>
          <w:sz w:val="32"/>
          <w:szCs w:val="32"/>
          <w:lang w:val="zh-CN" w:bidi="ar"/>
        </w:rPr>
        <w:t>专项执法行动，严厉打击非法转移、倾倒、处置</w:t>
      </w:r>
      <w:r>
        <w:rPr>
          <w:rFonts w:eastAsia="仿宋_GB2312"/>
          <w:kern w:val="0"/>
          <w:sz w:val="32"/>
          <w:szCs w:val="32"/>
          <w:lang w:bidi="ar"/>
        </w:rPr>
        <w:t>危险废物</w:t>
      </w:r>
      <w:r>
        <w:rPr>
          <w:rFonts w:eastAsia="仿宋_GB2312"/>
          <w:kern w:val="0"/>
          <w:sz w:val="32"/>
          <w:szCs w:val="32"/>
          <w:lang w:val="zh-CN" w:bidi="ar"/>
        </w:rPr>
        <w:t>环境违法行为，对违法行为实行“零容忍”。强化网格化管理，督促乡镇（街道）组织人员加强环境巡查，落实乡镇（街道）监管主体责任，对发生在当地的环境违法案件要及时发现、及时报告，严厉打击违法倾倒固体废物行为。</w:t>
      </w:r>
    </w:p>
    <w:p>
      <w:pPr>
        <w:spacing w:line="240" w:lineRule="auto"/>
        <w:ind w:firstLine="640" w:firstLineChars="200"/>
        <w:rPr>
          <w:rFonts w:ascii="Times New Roman" w:hAnsi="Times New Roman" w:eastAsia="仿宋_GB2312"/>
          <w:kern w:val="0"/>
          <w:sz w:val="32"/>
          <w:szCs w:val="32"/>
          <w:lang w:val="zh-CN" w:bidi="ar"/>
        </w:rPr>
      </w:pPr>
      <w:r>
        <w:rPr>
          <w:rFonts w:ascii="Times New Roman" w:hAnsi="Times New Roman" w:eastAsia="仿宋_GB2312"/>
          <w:kern w:val="0"/>
          <w:sz w:val="32"/>
          <w:szCs w:val="32"/>
          <w:lang w:val="zh-CN" w:bidi="ar"/>
        </w:rPr>
        <w:t>构建企业环境信用评价机制，将</w:t>
      </w:r>
      <w:r>
        <w:rPr>
          <w:rFonts w:ascii="Times New Roman" w:hAnsi="Times New Roman" w:eastAsia="仿宋_GB2312"/>
          <w:kern w:val="0"/>
          <w:sz w:val="32"/>
          <w:szCs w:val="32"/>
          <w:lang w:bidi="ar"/>
        </w:rPr>
        <w:t>涉危险废物</w:t>
      </w:r>
      <w:r>
        <w:rPr>
          <w:rFonts w:ascii="Times New Roman" w:hAnsi="Times New Roman" w:eastAsia="仿宋_GB2312"/>
          <w:kern w:val="0"/>
          <w:sz w:val="32"/>
          <w:szCs w:val="32"/>
          <w:lang w:val="zh-CN" w:bidi="ar"/>
        </w:rPr>
        <w:t>企业纳入企业环境信用评价范围，将违法企业纳入生态环境保护领域违法失信名单，实行公开曝光，开展联合惩戒。探索建立行业黑名单制度，对违法人员依法实施行业禁入，使具有重大环境违法行为的经营者“一次违法，处处受限”，大幅提升环境违法成本。</w:t>
      </w:r>
    </w:p>
    <w:p>
      <w:pPr>
        <w:pStyle w:val="5"/>
        <w:ind w:firstLine="643"/>
        <w:rPr>
          <w:rFonts w:eastAsia="仿宋_GB2312"/>
        </w:rPr>
      </w:pPr>
      <w:bookmarkStart w:id="108" w:name="_Toc19532"/>
      <w:bookmarkStart w:id="109" w:name="_Toc26899"/>
      <w:r>
        <w:rPr>
          <w:rFonts w:eastAsia="仿宋_GB2312"/>
        </w:rPr>
        <w:t>6.提升危险废物环境应急能力</w:t>
      </w:r>
      <w:bookmarkEnd w:id="108"/>
      <w:bookmarkEnd w:id="109"/>
    </w:p>
    <w:p>
      <w:pPr>
        <w:ind w:firstLine="643" w:firstLineChars="200"/>
        <w:rPr>
          <w:rFonts w:eastAsia="仿宋_GB2312"/>
          <w:kern w:val="0"/>
          <w:sz w:val="32"/>
          <w:szCs w:val="32"/>
          <w:lang w:bidi="ar"/>
        </w:rPr>
      </w:pPr>
      <w:r>
        <w:rPr>
          <w:rFonts w:eastAsia="仿宋_GB2312"/>
          <w:b/>
          <w:bCs/>
          <w:kern w:val="0"/>
          <w:sz w:val="32"/>
          <w:szCs w:val="32"/>
          <w:lang w:bidi="ar"/>
        </w:rPr>
        <w:t>强化污染事故监测和应急处置管理能力。</w:t>
      </w:r>
      <w:r>
        <w:rPr>
          <w:rFonts w:eastAsia="仿宋_GB2312"/>
          <w:kern w:val="0"/>
          <w:sz w:val="32"/>
          <w:szCs w:val="32"/>
          <w:lang w:bidi="ar"/>
        </w:rPr>
        <w:t>将涉危险废物突发生态环境时间应急处置纳入政府响应体系，完善环境应急响应预案，加强危险废物环境应急能力建设。深入推进跨区域、跨部门协同应急处置突发环境事件及其处理过程中产生的工业固体废物，建立协同应急处置设施清单，完善现场指挥与协调制度以及信息报告和公开机制。建立健全废弃危险化学品监管协作和联合执法工作机制，加强危险废物污染事故应急处置专业化队伍和应急处置网络建设，提高危险废物污染控制应急处理技术和装备水平。</w:t>
      </w:r>
    </w:p>
    <w:p>
      <w:pPr>
        <w:ind w:firstLine="643" w:firstLineChars="200"/>
        <w:rPr>
          <w:rFonts w:eastAsia="仿宋_GB2312"/>
          <w:kern w:val="0"/>
          <w:sz w:val="32"/>
          <w:szCs w:val="32"/>
          <w:lang w:bidi="ar"/>
        </w:rPr>
      </w:pPr>
      <w:r>
        <w:rPr>
          <w:rFonts w:eastAsia="仿宋_GB2312"/>
          <w:b/>
          <w:bCs/>
          <w:kern w:val="0"/>
          <w:sz w:val="32"/>
          <w:szCs w:val="32"/>
          <w:lang w:bidi="ar"/>
        </w:rPr>
        <w:t>完善危险废物污染事故预防机制。</w:t>
      </w:r>
      <w:r>
        <w:rPr>
          <w:rFonts w:eastAsia="仿宋_GB2312"/>
          <w:kern w:val="0"/>
          <w:sz w:val="32"/>
          <w:szCs w:val="32"/>
          <w:lang w:bidi="ar"/>
        </w:rPr>
        <w:t>落实企业法人代表环境安全问责制，夯实工业固体废物产生者的主体责任，提高应对突发环境事件责任和意识。开展重点行业、重点企业危险废物污染源头控制与隐患排查，督促企业完善应急预案，建设必要的危险废物暂存应急库，建立应急响应专业队伍，定期开展企业内专项应急演练，提升应急事件应对能力。</w:t>
      </w:r>
    </w:p>
    <w:p>
      <w:pPr>
        <w:pStyle w:val="2"/>
        <w:spacing w:before="468" w:after="312"/>
        <w:ind w:firstLine="403"/>
        <w:rPr>
          <w:rFonts w:ascii="Times New Roman" w:hAnsi="Times New Roman"/>
        </w:rPr>
      </w:pPr>
    </w:p>
    <w:p>
      <w:pPr>
        <w:pStyle w:val="4"/>
        <w:rPr>
          <w:rFonts w:eastAsia="仿宋_GB2312"/>
          <w:lang w:val="zh-CN"/>
        </w:rPr>
        <w:sectPr>
          <w:pgSz w:w="11906" w:h="16838"/>
          <w:pgMar w:top="1440" w:right="1800" w:bottom="1440" w:left="1800" w:header="720" w:footer="720" w:gutter="0"/>
          <w:cols w:space="720" w:num="1"/>
          <w:docGrid w:type="lines" w:linePitch="312" w:charSpace="0"/>
        </w:sectPr>
      </w:pPr>
    </w:p>
    <w:p>
      <w:pPr>
        <w:pStyle w:val="3"/>
        <w:ind w:firstLine="0" w:firstLineChars="0"/>
        <w:rPr>
          <w:lang w:val="zh-CN"/>
        </w:rPr>
      </w:pPr>
      <w:bookmarkStart w:id="110" w:name="_Toc8770"/>
      <w:bookmarkStart w:id="111" w:name="_Toc24395"/>
      <w:bookmarkStart w:id="112" w:name="_Toc19470"/>
      <w:r>
        <w:t>第四章 重点工程</w:t>
      </w:r>
      <w:bookmarkEnd w:id="110"/>
      <w:bookmarkEnd w:id="111"/>
      <w:bookmarkEnd w:id="112"/>
    </w:p>
    <w:p>
      <w:pPr>
        <w:ind w:firstLine="640" w:firstLineChars="200"/>
        <w:jc w:val="left"/>
        <w:rPr>
          <w:rFonts w:eastAsia="仿宋_GB2312"/>
          <w:kern w:val="0"/>
          <w:sz w:val="31"/>
          <w:szCs w:val="31"/>
          <w:lang w:bidi="ar"/>
        </w:rPr>
      </w:pPr>
      <w:r>
        <w:rPr>
          <w:rFonts w:eastAsia="仿宋_GB2312"/>
          <w:kern w:val="0"/>
          <w:sz w:val="32"/>
          <w:szCs w:val="32"/>
          <w:lang w:bidi="ar"/>
        </w:rPr>
        <w:t>根据伊吾县危险废物产生处置现状和发展趋势，新增一般工业固体废物综合利用项目</w:t>
      </w:r>
      <w:r>
        <w:rPr>
          <w:rFonts w:hint="eastAsia" w:eastAsia="仿宋_GB2312"/>
          <w:kern w:val="0"/>
          <w:sz w:val="32"/>
          <w:szCs w:val="32"/>
          <w:lang w:val="en-US" w:eastAsia="zh-CN" w:bidi="ar"/>
        </w:rPr>
        <w:t>1</w:t>
      </w:r>
      <w:r>
        <w:rPr>
          <w:rFonts w:eastAsia="仿宋_GB2312"/>
          <w:kern w:val="0"/>
          <w:sz w:val="32"/>
          <w:szCs w:val="32"/>
          <w:lang w:bidi="ar"/>
        </w:rPr>
        <w:t>个、一般工业固体废物固废堆积场建设项目1个、危险废物收储转运站建设项目1个、危险废物综合利用项目2个，补齐伊吾县固废处置和综合利用短板。</w:t>
      </w:r>
      <w:r>
        <w:rPr>
          <w:rFonts w:hint="eastAsia" w:eastAsia="仿宋_GB2312"/>
          <w:kern w:val="0"/>
          <w:sz w:val="32"/>
          <w:szCs w:val="32"/>
          <w:lang w:val="en-US" w:eastAsia="zh-CN" w:bidi="ar"/>
        </w:rPr>
        <w:t>重点工程</w:t>
      </w:r>
      <w:r>
        <w:rPr>
          <w:rFonts w:eastAsia="仿宋_GB2312"/>
          <w:kern w:val="0"/>
          <w:sz w:val="31"/>
          <w:szCs w:val="31"/>
          <w:lang w:bidi="ar"/>
        </w:rPr>
        <w:t>总投资估算约17.</w:t>
      </w:r>
      <w:r>
        <w:rPr>
          <w:rFonts w:hint="eastAsia" w:eastAsia="仿宋_GB2312"/>
          <w:kern w:val="0"/>
          <w:sz w:val="31"/>
          <w:szCs w:val="31"/>
          <w:lang w:val="en-US" w:eastAsia="zh-CN" w:bidi="ar"/>
        </w:rPr>
        <w:t>1</w:t>
      </w:r>
      <w:r>
        <w:rPr>
          <w:rFonts w:eastAsia="仿宋_GB2312"/>
          <w:kern w:val="0"/>
          <w:sz w:val="31"/>
          <w:szCs w:val="31"/>
          <w:lang w:bidi="ar"/>
        </w:rPr>
        <w:t>6亿元。其中，一般固体废物项目拟投资约0.</w:t>
      </w:r>
      <w:r>
        <w:rPr>
          <w:rFonts w:hint="eastAsia" w:eastAsia="仿宋_GB2312"/>
          <w:kern w:val="0"/>
          <w:sz w:val="31"/>
          <w:szCs w:val="31"/>
          <w:lang w:val="en-US" w:eastAsia="zh-CN" w:bidi="ar"/>
        </w:rPr>
        <w:t>29</w:t>
      </w:r>
      <w:r>
        <w:rPr>
          <w:rFonts w:eastAsia="仿宋_GB2312"/>
          <w:kern w:val="0"/>
          <w:sz w:val="31"/>
          <w:szCs w:val="31"/>
          <w:lang w:bidi="ar"/>
        </w:rPr>
        <w:t>亿元，危险废物项目拟投资约16.87亿元。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522" w:type="dxa"/>
            <w:vAlign w:val="center"/>
          </w:tcPr>
          <w:p>
            <w:pPr>
              <w:pStyle w:val="2"/>
              <w:spacing w:beforeLines="0" w:afterLines="0" w:line="240" w:lineRule="auto"/>
              <w:ind w:firstLine="0" w:firstLineChars="0"/>
              <w:jc w:val="center"/>
              <w:rPr>
                <w:rFonts w:ascii="Times New Roman" w:hAnsi="Times New Roman" w:eastAsia="仿宋_GB2312"/>
                <w:kern w:val="0"/>
                <w:sz w:val="31"/>
                <w:szCs w:val="31"/>
                <w:lang w:bidi="ar"/>
              </w:rPr>
            </w:pPr>
            <w:r>
              <w:rPr>
                <w:rFonts w:ascii="Times New Roman" w:hAnsi="Times New Roman" w:eastAsia="仿宋_GB2312"/>
                <w:b/>
                <w:bCs/>
                <w:sz w:val="28"/>
                <w:szCs w:val="28"/>
              </w:rPr>
              <w:t>专栏2 伊吾县工业固体废物污染防治重点工程项目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2"/>
              <w:spacing w:beforeLines="0" w:afterLines="0"/>
              <w:ind w:firstLine="0" w:firstLineChars="0"/>
              <w:rPr>
                <w:rFonts w:ascii="Times New Roman" w:hAnsi="Times New Roman" w:eastAsia="仿宋_GB2312"/>
                <w:b/>
                <w:bCs/>
                <w:sz w:val="28"/>
                <w:szCs w:val="28"/>
              </w:rPr>
            </w:pPr>
            <w:r>
              <w:rPr>
                <w:rFonts w:ascii="Times New Roman" w:hAnsi="Times New Roman" w:eastAsia="仿宋_GB2312"/>
                <w:b/>
                <w:bCs/>
                <w:sz w:val="28"/>
                <w:szCs w:val="28"/>
              </w:rPr>
              <w:t>（一）一般工业固体废物综合利用项目</w:t>
            </w:r>
          </w:p>
          <w:p>
            <w:pPr>
              <w:pStyle w:val="2"/>
              <w:spacing w:beforeLines="0" w:afterLines="0"/>
              <w:ind w:firstLine="560" w:firstLineChars="200"/>
              <w:rPr>
                <w:rFonts w:ascii="Times New Roman" w:hAnsi="Times New Roman" w:eastAsia="仿宋_GB2312"/>
                <w:b/>
                <w:bCs/>
                <w:sz w:val="28"/>
                <w:szCs w:val="28"/>
              </w:rPr>
            </w:pPr>
            <w:r>
              <w:rPr>
                <w:rFonts w:ascii="Times New Roman" w:hAnsi="Times New Roman" w:eastAsia="仿宋_GB2312"/>
                <w:sz w:val="28"/>
                <w:szCs w:val="28"/>
              </w:rPr>
              <w:t>新疆海创建设工程有限公司新建沥青拌合站及公路沥青再回收项目增加沥青等一般工业固体废物循环利用能力。</w:t>
            </w:r>
          </w:p>
          <w:p>
            <w:pPr>
              <w:pStyle w:val="2"/>
              <w:spacing w:beforeLines="0" w:afterLines="0"/>
              <w:ind w:firstLine="0" w:firstLineChars="0"/>
              <w:rPr>
                <w:rFonts w:ascii="Times New Roman" w:hAnsi="Times New Roman" w:eastAsia="仿宋_GB2312"/>
                <w:b/>
                <w:bCs/>
                <w:sz w:val="28"/>
                <w:szCs w:val="28"/>
              </w:rPr>
            </w:pPr>
            <w:r>
              <w:rPr>
                <w:rFonts w:ascii="Times New Roman" w:hAnsi="Times New Roman" w:eastAsia="仿宋_GB2312"/>
                <w:b/>
                <w:bCs/>
                <w:sz w:val="28"/>
                <w:szCs w:val="28"/>
              </w:rPr>
              <w:t>（二）一般工业固体废物固废堆积场建设项目</w:t>
            </w:r>
          </w:p>
          <w:p>
            <w:pPr>
              <w:pStyle w:val="2"/>
              <w:spacing w:beforeLines="0" w:afterLines="0"/>
              <w:ind w:firstLine="560" w:firstLineChars="200"/>
              <w:rPr>
                <w:rFonts w:ascii="Times New Roman" w:hAnsi="Times New Roman" w:eastAsia="仿宋_GB2312"/>
                <w:b/>
                <w:bCs/>
                <w:sz w:val="28"/>
                <w:szCs w:val="28"/>
              </w:rPr>
            </w:pPr>
            <w:r>
              <w:rPr>
                <w:rFonts w:ascii="Times New Roman" w:hAnsi="Times New Roman" w:eastAsia="仿宋_GB2312"/>
                <w:sz w:val="28"/>
                <w:szCs w:val="28"/>
              </w:rPr>
              <w:t>新建哈密市伊吾县集中供热管理中心储煤场及固废堆积场，包含10000平方米符合环保规范要求的固废（炉渣）堆积场及5000平方米密闭储煤场。</w:t>
            </w:r>
          </w:p>
          <w:p>
            <w:pPr>
              <w:pStyle w:val="2"/>
              <w:spacing w:beforeLines="0" w:afterLines="0"/>
              <w:ind w:firstLine="0" w:firstLineChars="0"/>
              <w:rPr>
                <w:rFonts w:ascii="Times New Roman" w:hAnsi="Times New Roman" w:eastAsia="仿宋_GB2312"/>
                <w:b/>
                <w:bCs/>
                <w:sz w:val="28"/>
                <w:szCs w:val="28"/>
              </w:rPr>
            </w:pPr>
            <w:r>
              <w:rPr>
                <w:rFonts w:ascii="Times New Roman" w:hAnsi="Times New Roman" w:eastAsia="仿宋_GB2312"/>
                <w:b/>
                <w:bCs/>
                <w:sz w:val="28"/>
                <w:szCs w:val="28"/>
              </w:rPr>
              <w:t>（三）危险废物收储转运站建设项目</w:t>
            </w:r>
          </w:p>
          <w:p>
            <w:pPr>
              <w:pStyle w:val="2"/>
              <w:spacing w:beforeLines="0" w:afterLines="0"/>
              <w:ind w:firstLine="560" w:firstLineChars="200"/>
              <w:rPr>
                <w:rFonts w:ascii="Times New Roman" w:hAnsi="Times New Roman" w:eastAsia="仿宋_GB2312"/>
                <w:b/>
                <w:bCs/>
                <w:sz w:val="28"/>
                <w:szCs w:val="28"/>
              </w:rPr>
            </w:pPr>
            <w:r>
              <w:rPr>
                <w:rFonts w:ascii="Times New Roman" w:hAnsi="Times New Roman" w:eastAsia="仿宋_GB2312"/>
                <w:sz w:val="28"/>
                <w:szCs w:val="28"/>
              </w:rPr>
              <w:t>新疆恒耀环保科技有限公司新建哈密市伊吾县淖毛湖镇废油收储转运站建设项目，增加伊吾县废矿物油收集、储存、转运能力。</w:t>
            </w:r>
          </w:p>
          <w:p>
            <w:pPr>
              <w:pStyle w:val="2"/>
              <w:spacing w:beforeLines="0" w:afterLines="0"/>
              <w:ind w:firstLine="0" w:firstLineChars="0"/>
              <w:rPr>
                <w:rFonts w:ascii="Times New Roman" w:hAnsi="Times New Roman" w:eastAsia="仿宋_GB2312"/>
                <w:b/>
                <w:bCs/>
                <w:sz w:val="28"/>
                <w:szCs w:val="28"/>
              </w:rPr>
            </w:pPr>
            <w:r>
              <w:rPr>
                <w:rFonts w:ascii="Times New Roman" w:hAnsi="Times New Roman" w:eastAsia="仿宋_GB2312"/>
                <w:b/>
                <w:bCs/>
                <w:sz w:val="28"/>
                <w:szCs w:val="28"/>
              </w:rPr>
              <w:t>（四）危险废物综合利用项目</w:t>
            </w:r>
          </w:p>
          <w:p>
            <w:pPr>
              <w:pStyle w:val="2"/>
              <w:spacing w:beforeLines="0" w:afterLines="0"/>
              <w:ind w:firstLine="560" w:firstLineChars="200"/>
              <w:rPr>
                <w:rFonts w:ascii="Times New Roman" w:hAnsi="Times New Roman" w:eastAsia="仿宋_GB2312"/>
                <w:kern w:val="0"/>
                <w:sz w:val="31"/>
                <w:szCs w:val="31"/>
                <w:lang w:bidi="ar"/>
              </w:rPr>
            </w:pPr>
            <w:r>
              <w:rPr>
                <w:rFonts w:ascii="Times New Roman" w:hAnsi="Times New Roman" w:eastAsia="仿宋_GB2312"/>
                <w:sz w:val="28"/>
                <w:szCs w:val="28"/>
              </w:rPr>
              <w:t>新疆宣东能源有限公司新建煤焦油提质改造项目，可处理煤焦油50万吨/年；新疆山之源环保有限公司新建危废收集、贮存与无害化处置项目，主要进行催化剂、活性炭再生，工业废物焚烧、物化、固化，含金属危废回收金属等。</w:t>
            </w:r>
          </w:p>
        </w:tc>
      </w:tr>
    </w:tbl>
    <w:p>
      <w:pPr>
        <w:ind w:firstLine="640" w:firstLineChars="200"/>
        <w:rPr>
          <w:rFonts w:eastAsia="仿宋_GB2312"/>
          <w:sz w:val="32"/>
          <w:szCs w:val="32"/>
        </w:rPr>
        <w:sectPr>
          <w:pgSz w:w="11906" w:h="16838"/>
          <w:pgMar w:top="1440" w:right="1800" w:bottom="1440" w:left="1800" w:header="720" w:footer="720" w:gutter="0"/>
          <w:cols w:space="720" w:num="1"/>
          <w:docGrid w:type="lines" w:linePitch="312" w:charSpace="0"/>
        </w:sectPr>
      </w:pPr>
    </w:p>
    <w:p>
      <w:pPr>
        <w:pStyle w:val="3"/>
        <w:ind w:firstLine="0" w:firstLineChars="0"/>
        <w:rPr>
          <w:lang w:val="zh-CN"/>
        </w:rPr>
      </w:pPr>
      <w:bookmarkStart w:id="113" w:name="_Toc18813"/>
      <w:bookmarkStart w:id="114" w:name="_Toc5210"/>
      <w:bookmarkStart w:id="115" w:name="_Toc3460"/>
      <w:r>
        <w:t>第五章 保障措施</w:t>
      </w:r>
      <w:bookmarkEnd w:id="113"/>
      <w:bookmarkEnd w:id="114"/>
      <w:bookmarkEnd w:id="115"/>
    </w:p>
    <w:p>
      <w:pPr>
        <w:pStyle w:val="4"/>
        <w:numPr>
          <w:ilvl w:val="0"/>
          <w:numId w:val="6"/>
        </w:numPr>
        <w:ind w:left="0"/>
      </w:pPr>
      <w:bookmarkStart w:id="116" w:name="_Toc30846"/>
      <w:bookmarkStart w:id="117" w:name="_Toc91497419"/>
      <w:bookmarkStart w:id="118" w:name="_Toc13726"/>
      <w:bookmarkStart w:id="119" w:name="_Toc18507"/>
      <w:bookmarkStart w:id="120" w:name="_Toc7304_WPSOffice_Level2"/>
      <w:bookmarkStart w:id="121" w:name="_Toc6009"/>
      <w:bookmarkStart w:id="122" w:name="_Toc91497534"/>
      <w:r>
        <w:t>加强组织领导、完善管理体系</w:t>
      </w:r>
      <w:bookmarkEnd w:id="116"/>
      <w:bookmarkEnd w:id="117"/>
      <w:bookmarkEnd w:id="118"/>
      <w:bookmarkEnd w:id="119"/>
      <w:bookmarkEnd w:id="120"/>
      <w:bookmarkEnd w:id="121"/>
      <w:bookmarkEnd w:id="122"/>
    </w:p>
    <w:p>
      <w:pPr>
        <w:ind w:firstLine="640" w:firstLineChars="200"/>
        <w:rPr>
          <w:rFonts w:eastAsia="仿宋_GB2312"/>
          <w:sz w:val="32"/>
          <w:szCs w:val="32"/>
        </w:rPr>
      </w:pPr>
      <w:r>
        <w:rPr>
          <w:rFonts w:eastAsia="仿宋_GB2312"/>
          <w:sz w:val="32"/>
          <w:szCs w:val="32"/>
        </w:rPr>
        <w:t>县政府加强组织领导，按照规划要求督促工业固体废物收集利用处置项目建设与污染环境防治工作。相关部门要各司其职，加强协调配合，切实解决项目推进过程中出现的问题和困难，并按照职责分工切实做好职责范围内的监督管理工作，切实做好工业固体废物污染环境防治工作。强化企业主体责任，加强对企业的宣传培训，引导企业主动作为和履行主体责任；鼓励公众参与，促进公众监督举报制度，确保渠道通畅与奖励落实，形成以政府主导、企业主体、公众参与的管理体系。</w:t>
      </w:r>
      <w:bookmarkStart w:id="123" w:name="_Toc90246364"/>
      <w:bookmarkStart w:id="124" w:name="_Toc88154688"/>
    </w:p>
    <w:p>
      <w:pPr>
        <w:pStyle w:val="4"/>
        <w:ind w:left="0"/>
      </w:pPr>
      <w:bookmarkStart w:id="125" w:name="_Toc91497535"/>
      <w:bookmarkStart w:id="126" w:name="_Toc5256"/>
      <w:bookmarkStart w:id="127" w:name="_Toc18929"/>
      <w:bookmarkStart w:id="128" w:name="_Toc28317"/>
      <w:bookmarkStart w:id="129" w:name="_Toc30188"/>
      <w:bookmarkStart w:id="130" w:name="_Toc30422_WPSOffice_Level2"/>
      <w:bookmarkStart w:id="131" w:name="_Toc91497420"/>
      <w:r>
        <w:t>部门协调联动、明确任务分工</w:t>
      </w:r>
      <w:bookmarkEnd w:id="123"/>
      <w:bookmarkEnd w:id="124"/>
      <w:bookmarkEnd w:id="125"/>
      <w:bookmarkEnd w:id="126"/>
      <w:bookmarkEnd w:id="127"/>
      <w:bookmarkEnd w:id="128"/>
      <w:bookmarkEnd w:id="129"/>
      <w:bookmarkEnd w:id="130"/>
      <w:bookmarkEnd w:id="131"/>
    </w:p>
    <w:p>
      <w:pPr>
        <w:ind w:firstLine="640" w:firstLineChars="200"/>
        <w:rPr>
          <w:rFonts w:eastAsia="仿宋_GB2312"/>
          <w:sz w:val="32"/>
          <w:szCs w:val="32"/>
        </w:rPr>
      </w:pPr>
      <w:bookmarkStart w:id="132" w:name="_Toc88154689"/>
      <w:bookmarkStart w:id="133" w:name="_Toc90246365"/>
      <w:r>
        <w:rPr>
          <w:rFonts w:eastAsia="仿宋_GB2312"/>
          <w:sz w:val="32"/>
          <w:szCs w:val="32"/>
        </w:rPr>
        <w:t>建立部门联动、区域协作、联合执法、重大案件会商督办制度，厘清权责、加强沟通协作，形成协调联动，实现信息及时、充分、有效共享，形成覆盖危险废物产生、收集、贮存、转移、运输、利用、处置等全过程的监管体系，筑牢全链条监管，形成工作合力。</w:t>
      </w:r>
    </w:p>
    <w:p>
      <w:pPr>
        <w:pStyle w:val="4"/>
        <w:ind w:left="0"/>
      </w:pPr>
      <w:bookmarkStart w:id="134" w:name="_Toc91497536"/>
      <w:bookmarkStart w:id="135" w:name="_Toc19051"/>
      <w:bookmarkStart w:id="136" w:name="_Toc91497421"/>
      <w:bookmarkStart w:id="137" w:name="_Toc1810"/>
      <w:bookmarkStart w:id="138" w:name="_Toc15722"/>
      <w:bookmarkStart w:id="139" w:name="_Toc14403"/>
      <w:bookmarkStart w:id="140" w:name="_Toc7293_WPSOffice_Level2"/>
      <w:r>
        <w:t>落实政策扶持、</w:t>
      </w:r>
      <w:bookmarkEnd w:id="132"/>
      <w:bookmarkEnd w:id="133"/>
      <w:bookmarkEnd w:id="134"/>
      <w:bookmarkEnd w:id="135"/>
      <w:bookmarkEnd w:id="136"/>
      <w:r>
        <w:t>强化项目支撑</w:t>
      </w:r>
      <w:bookmarkEnd w:id="137"/>
      <w:bookmarkEnd w:id="138"/>
      <w:bookmarkEnd w:id="139"/>
      <w:bookmarkEnd w:id="140"/>
    </w:p>
    <w:p>
      <w:pPr>
        <w:ind w:firstLine="640" w:firstLineChars="200"/>
        <w:rPr>
          <w:rFonts w:eastAsia="仿宋_GB2312"/>
          <w:sz w:val="32"/>
          <w:szCs w:val="32"/>
        </w:rPr>
      </w:pPr>
      <w:r>
        <w:rPr>
          <w:rFonts w:eastAsia="仿宋_GB2312"/>
          <w:sz w:val="32"/>
          <w:szCs w:val="32"/>
        </w:rPr>
        <w:t>在税收、信贷、融资等方面，认真落实国家资源综合利用相关优惠政策，积极扶持固体废物利用处置产业。发展改革、自然资源、生态环境等部门对发展前景良好，市场竞争力强的大宗工业固体废物综合利用企业，开辟“绿色通道”，在项目备案、土地、环评、生产许可等行政审批、许可上给予支持。完善和细化固体废物减量化、资源化、无害化和管理，以及市场运作、服务收费等方面的法规、规章和标准，形成覆盖生产、收集、贮存、转移、处置、利用全过程的法规体系。</w:t>
      </w:r>
      <w:bookmarkStart w:id="141" w:name="_Toc88154690"/>
      <w:bookmarkStart w:id="142" w:name="_Toc90246366"/>
      <w:r>
        <w:rPr>
          <w:rFonts w:eastAsia="仿宋_GB2312"/>
          <w:sz w:val="32"/>
          <w:szCs w:val="32"/>
        </w:rPr>
        <w:t>鼓励开展符合工业固体废物源头减量、资源化利用、无害化处置及监管能力提升等方面的项目建设，强化伊吾县工业固体废物污染防治项目支撑。</w:t>
      </w:r>
      <w:bookmarkEnd w:id="141"/>
      <w:bookmarkEnd w:id="142"/>
      <w:bookmarkStart w:id="143" w:name="_Toc88154691"/>
      <w:bookmarkStart w:id="144" w:name="_Toc90246367"/>
    </w:p>
    <w:bookmarkEnd w:id="143"/>
    <w:bookmarkEnd w:id="144"/>
    <w:p>
      <w:pPr>
        <w:pStyle w:val="4"/>
        <w:ind w:left="0"/>
      </w:pPr>
      <w:bookmarkStart w:id="145" w:name="_Toc14307"/>
      <w:bookmarkStart w:id="146" w:name="_Toc29991"/>
      <w:bookmarkStart w:id="147" w:name="_Toc32017"/>
      <w:r>
        <w:t>加强宣传引导，倡导公众参与</w:t>
      </w:r>
      <w:bookmarkEnd w:id="145"/>
      <w:bookmarkEnd w:id="146"/>
      <w:bookmarkEnd w:id="147"/>
    </w:p>
    <w:p>
      <w:pPr>
        <w:ind w:firstLine="640"/>
        <w:rPr>
          <w:rFonts w:eastAsia="仿宋_GB2312"/>
          <w:sz w:val="32"/>
          <w:szCs w:val="32"/>
        </w:rPr>
        <w:sectPr>
          <w:pgSz w:w="11906" w:h="16838"/>
          <w:pgMar w:top="1440" w:right="1800" w:bottom="1440" w:left="1800" w:header="720" w:footer="720" w:gutter="0"/>
          <w:cols w:space="720" w:num="1"/>
          <w:docGrid w:type="lines" w:linePitch="312" w:charSpace="0"/>
        </w:sectPr>
      </w:pPr>
      <w:r>
        <w:rPr>
          <w:rFonts w:eastAsia="仿宋_GB2312"/>
          <w:sz w:val="32"/>
          <w:szCs w:val="32"/>
        </w:rPr>
        <w:t>建立信息公开制度，依法及时公开固体废物污染防治信息，搭建政府、企业、公众多方交流合作平台，保障社会公众知情权和参与权，加大宣传教育引导力度，主动积极化解固体废物处置设施建设“邻避效应”。强化公众参与和社会监督，大力宣传固体废物污染防治法律法规和政策规定，普及固体废物污染防治、综合利用产品无害化及环保化的相关知识，提高全民节约资源和保护环境的意识，倡导绿色生产与绿色消费方式。鼓励广大人民群众积极举报非法倾倒、转移和填埋工业固体废物的违法行为，提供环境违法犯罪活动线索，建立举报奖励机制，对查实的举报给予举报单位或个人适当奖励。加大对固体废物重大案件查处情况的曝光力度，营造全社会共同参与资源综合利用的良好氛围。</w:t>
      </w:r>
    </w:p>
    <w:p>
      <w:pPr>
        <w:pStyle w:val="3"/>
        <w:ind w:firstLine="0" w:firstLineChars="0"/>
        <w:jc w:val="both"/>
      </w:pPr>
      <w:bookmarkStart w:id="148" w:name="_Toc20972"/>
      <w:bookmarkStart w:id="149" w:name="_Toc13292"/>
      <w:r>
        <w:t>附表</w:t>
      </w:r>
      <w:bookmarkEnd w:id="148"/>
      <w:bookmarkEnd w:id="149"/>
    </w:p>
    <w:p>
      <w:pPr>
        <w:pStyle w:val="13"/>
        <w:ind w:firstLine="0" w:firstLineChars="0"/>
        <w:jc w:val="center"/>
        <w:outlineLvl w:val="0"/>
        <w:rPr>
          <w:rFonts w:hint="eastAsia" w:eastAsia="仿宋_GB2312"/>
          <w:b/>
          <w:bCs/>
          <w:szCs w:val="32"/>
          <w:lang w:eastAsia="zh-CN" w:bidi="ar"/>
        </w:rPr>
      </w:pPr>
      <w:bookmarkStart w:id="150" w:name="_Toc21831"/>
      <w:bookmarkStart w:id="151" w:name="_Toc32513"/>
      <w:r>
        <w:rPr>
          <w:rFonts w:eastAsia="仿宋_GB2312"/>
          <w:b/>
          <w:bCs/>
          <w:szCs w:val="32"/>
          <w:lang w:bidi="ar"/>
        </w:rPr>
        <w:t>表1 伊吾县2018-2022年危险废物产生利用情况</w:t>
      </w:r>
      <w:r>
        <w:rPr>
          <w:rFonts w:hint="eastAsia" w:eastAsia="仿宋_GB2312"/>
          <w:b/>
          <w:bCs/>
          <w:szCs w:val="32"/>
          <w:lang w:eastAsia="zh-CN" w:bidi="ar"/>
        </w:rPr>
        <w:t>（</w:t>
      </w:r>
      <w:r>
        <w:rPr>
          <w:rFonts w:eastAsia="仿宋_GB2312"/>
          <w:b/>
          <w:bCs/>
          <w:szCs w:val="32"/>
          <w:lang w:bidi="ar"/>
        </w:rPr>
        <w:t>吨</w:t>
      </w:r>
      <w:bookmarkEnd w:id="150"/>
      <w:bookmarkEnd w:id="151"/>
      <w:r>
        <w:rPr>
          <w:rFonts w:hint="eastAsia" w:eastAsia="仿宋_GB2312"/>
          <w:b/>
          <w:bCs/>
          <w:szCs w:val="32"/>
          <w:lang w:eastAsia="zh-CN" w:bidi="ar"/>
        </w:rPr>
        <w:t>）</w:t>
      </w:r>
    </w:p>
    <w:tbl>
      <w:tblPr>
        <w:tblStyle w:val="20"/>
        <w:tblW w:w="9377" w:type="dxa"/>
        <w:jc w:val="center"/>
        <w:tblLayout w:type="fixed"/>
        <w:tblCellMar>
          <w:top w:w="0" w:type="dxa"/>
          <w:left w:w="108" w:type="dxa"/>
          <w:bottom w:w="0" w:type="dxa"/>
          <w:right w:w="108" w:type="dxa"/>
        </w:tblCellMar>
      </w:tblPr>
      <w:tblGrid>
        <w:gridCol w:w="1153"/>
        <w:gridCol w:w="1644"/>
        <w:gridCol w:w="1644"/>
        <w:gridCol w:w="1752"/>
        <w:gridCol w:w="1536"/>
        <w:gridCol w:w="1648"/>
      </w:tblGrid>
      <w:tr>
        <w:tblPrEx>
          <w:tblCellMar>
            <w:top w:w="0" w:type="dxa"/>
            <w:left w:w="108" w:type="dxa"/>
            <w:bottom w:w="0" w:type="dxa"/>
            <w:right w:w="108" w:type="dxa"/>
          </w:tblCellMar>
        </w:tblPrEx>
        <w:trPr>
          <w:trHeight w:val="1152" w:hRule="atLeast"/>
          <w:jc w:val="center"/>
        </w:trPr>
        <w:tc>
          <w:tcPr>
            <w:tcW w:w="1153"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textAlignment w:val="center"/>
              <w:rPr>
                <w:rFonts w:eastAsia="仿宋_GB2312"/>
                <w:b/>
                <w:bCs/>
                <w:sz w:val="24"/>
                <w:szCs w:val="24"/>
              </w:rPr>
            </w:pPr>
            <w:r>
              <w:rPr>
                <w:rFonts w:eastAsia="仿宋_GB2312"/>
                <w:b/>
                <w:bCs/>
                <w:sz w:val="24"/>
                <w:szCs w:val="24"/>
              </w:rPr>
              <w:t>年份</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上年度遗留量</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产生量</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委外转移量</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自行处置利用</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本年度贮存量</w:t>
            </w:r>
          </w:p>
        </w:tc>
      </w:tr>
      <w:tr>
        <w:tblPrEx>
          <w:tblCellMar>
            <w:top w:w="0" w:type="dxa"/>
            <w:left w:w="108" w:type="dxa"/>
            <w:bottom w:w="0" w:type="dxa"/>
            <w:right w:w="108" w:type="dxa"/>
          </w:tblCellMar>
        </w:tblPrEx>
        <w:trPr>
          <w:trHeight w:val="95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sz w:val="24"/>
                <w:szCs w:val="24"/>
              </w:rPr>
            </w:pPr>
            <w:r>
              <w:rPr>
                <w:rFonts w:eastAsia="仿宋_GB2312"/>
                <w:kern w:val="0"/>
                <w:sz w:val="24"/>
                <w:szCs w:val="24"/>
                <w:lang w:bidi="ar"/>
              </w:rPr>
              <w:t>2018年</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15.8600</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23906.17</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164.7200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23508.0000</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249.3100</w:t>
            </w:r>
          </w:p>
        </w:tc>
      </w:tr>
      <w:tr>
        <w:tblPrEx>
          <w:tblCellMar>
            <w:top w:w="0" w:type="dxa"/>
            <w:left w:w="108" w:type="dxa"/>
            <w:bottom w:w="0" w:type="dxa"/>
            <w:right w:w="108" w:type="dxa"/>
          </w:tblCellMar>
        </w:tblPrEx>
        <w:trPr>
          <w:trHeight w:val="95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sz w:val="24"/>
                <w:szCs w:val="24"/>
              </w:rPr>
            </w:pPr>
            <w:r>
              <w:rPr>
                <w:rFonts w:eastAsia="仿宋_GB2312"/>
                <w:kern w:val="0"/>
                <w:sz w:val="24"/>
                <w:szCs w:val="24"/>
                <w:lang w:bidi="ar"/>
              </w:rPr>
              <w:t>2019年</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252.7810</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22437.751</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503.0410</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22010.2400</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177.2510</w:t>
            </w:r>
          </w:p>
        </w:tc>
      </w:tr>
      <w:tr>
        <w:tblPrEx>
          <w:tblCellMar>
            <w:top w:w="0" w:type="dxa"/>
            <w:left w:w="108" w:type="dxa"/>
            <w:bottom w:w="0" w:type="dxa"/>
            <w:right w:w="108" w:type="dxa"/>
          </w:tblCellMar>
        </w:tblPrEx>
        <w:trPr>
          <w:trHeight w:val="95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sz w:val="24"/>
                <w:szCs w:val="24"/>
              </w:rPr>
            </w:pPr>
            <w:r>
              <w:rPr>
                <w:rFonts w:eastAsia="仿宋_GB2312"/>
                <w:kern w:val="0"/>
                <w:sz w:val="24"/>
                <w:szCs w:val="24"/>
                <w:lang w:bidi="ar"/>
              </w:rPr>
              <w:t>2020年</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4406.3510</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326840.1562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109735.1092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17477.0000</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204034.3980</w:t>
            </w:r>
          </w:p>
        </w:tc>
      </w:tr>
      <w:tr>
        <w:tblPrEx>
          <w:tblCellMar>
            <w:top w:w="0" w:type="dxa"/>
            <w:left w:w="108" w:type="dxa"/>
            <w:bottom w:w="0" w:type="dxa"/>
            <w:right w:w="108" w:type="dxa"/>
          </w:tblCellMar>
        </w:tblPrEx>
        <w:trPr>
          <w:trHeight w:val="950"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sz w:val="24"/>
                <w:szCs w:val="24"/>
              </w:rPr>
            </w:pPr>
            <w:r>
              <w:rPr>
                <w:rFonts w:eastAsia="仿宋_GB2312"/>
                <w:kern w:val="0"/>
                <w:sz w:val="24"/>
                <w:szCs w:val="24"/>
                <w:lang w:bidi="ar"/>
              </w:rPr>
              <w:t>2021年</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25.1480</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417905.482</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401983.5022</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15827.0173</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120.1105</w:t>
            </w:r>
          </w:p>
        </w:tc>
      </w:tr>
      <w:tr>
        <w:tblPrEx>
          <w:tblCellMar>
            <w:top w:w="0" w:type="dxa"/>
            <w:left w:w="108" w:type="dxa"/>
            <w:bottom w:w="0" w:type="dxa"/>
            <w:right w:w="108" w:type="dxa"/>
          </w:tblCellMar>
        </w:tblPrEx>
        <w:trPr>
          <w:trHeight w:val="994" w:hRule="atLeast"/>
          <w:jc w:val="center"/>
        </w:trPr>
        <w:tc>
          <w:tcPr>
            <w:tcW w:w="115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sz w:val="24"/>
                <w:szCs w:val="24"/>
              </w:rPr>
            </w:pPr>
            <w:r>
              <w:rPr>
                <w:rFonts w:eastAsia="仿宋_GB2312"/>
                <w:kern w:val="0"/>
                <w:sz w:val="24"/>
                <w:szCs w:val="24"/>
                <w:lang w:bidi="ar"/>
              </w:rPr>
              <w:t>2022年</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6385.0670</w:t>
            </w:r>
          </w:p>
        </w:tc>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1157331.599</w:t>
            </w:r>
          </w:p>
        </w:tc>
        <w:tc>
          <w:tcPr>
            <w:tcW w:w="17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1151729.7177</w:t>
            </w:r>
          </w:p>
        </w:tc>
        <w:tc>
          <w:tcPr>
            <w:tcW w:w="153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11682.8265</w:t>
            </w:r>
          </w:p>
        </w:tc>
        <w:tc>
          <w:tcPr>
            <w:tcW w:w="16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kern w:val="0"/>
                <w:sz w:val="24"/>
                <w:szCs w:val="24"/>
                <w:lang w:bidi="ar"/>
              </w:rPr>
            </w:pPr>
            <w:r>
              <w:rPr>
                <w:rFonts w:eastAsia="仿宋_GB2312"/>
                <w:kern w:val="0"/>
                <w:sz w:val="24"/>
                <w:szCs w:val="24"/>
                <w:lang w:bidi="ar"/>
              </w:rPr>
              <w:t>304.1217</w:t>
            </w:r>
          </w:p>
        </w:tc>
      </w:tr>
    </w:tbl>
    <w:p>
      <w:pPr>
        <w:rPr>
          <w:rFonts w:eastAsia="仿宋_GB2312"/>
          <w:sz w:val="32"/>
          <w:szCs w:val="32"/>
        </w:rPr>
      </w:pPr>
      <w:r>
        <w:rPr>
          <w:rFonts w:eastAsia="仿宋_GB2312"/>
          <w:sz w:val="32"/>
          <w:szCs w:val="32"/>
        </w:rPr>
        <w:br w:type="page"/>
      </w:r>
    </w:p>
    <w:p>
      <w:pPr>
        <w:pStyle w:val="13"/>
        <w:ind w:firstLine="0" w:firstLineChars="0"/>
        <w:jc w:val="center"/>
        <w:outlineLvl w:val="0"/>
        <w:rPr>
          <w:rFonts w:eastAsia="仿宋_GB2312"/>
          <w:b/>
          <w:bCs/>
          <w:szCs w:val="32"/>
          <w:lang w:bidi="ar"/>
        </w:rPr>
      </w:pPr>
      <w:bookmarkStart w:id="152" w:name="_Toc4199"/>
      <w:bookmarkStart w:id="153" w:name="_Toc4644"/>
      <w:r>
        <w:rPr>
          <w:rFonts w:eastAsia="仿宋_GB2312"/>
          <w:b/>
          <w:bCs/>
          <w:szCs w:val="32"/>
          <w:lang w:bidi="ar"/>
        </w:rPr>
        <w:t>表2 伊吾县2022年不同危险废物产生利用情况</w:t>
      </w:r>
      <w:bookmarkEnd w:id="152"/>
      <w:bookmarkEnd w:id="153"/>
      <w:r>
        <w:rPr>
          <w:rFonts w:hint="eastAsia" w:eastAsia="仿宋_GB2312"/>
          <w:b/>
          <w:bCs/>
          <w:szCs w:val="32"/>
          <w:lang w:eastAsia="zh-CN" w:bidi="ar"/>
        </w:rPr>
        <w:t>（</w:t>
      </w:r>
      <w:r>
        <w:rPr>
          <w:rFonts w:eastAsia="仿宋_GB2312"/>
          <w:b/>
          <w:bCs/>
          <w:szCs w:val="32"/>
          <w:lang w:bidi="ar"/>
        </w:rPr>
        <w:t>吨</w:t>
      </w:r>
      <w:r>
        <w:rPr>
          <w:rFonts w:hint="eastAsia" w:eastAsia="仿宋_GB2312"/>
          <w:b/>
          <w:bCs/>
          <w:szCs w:val="32"/>
          <w:lang w:eastAsia="zh-CN" w:bidi="ar"/>
        </w:rPr>
        <w:t>）</w:t>
      </w:r>
    </w:p>
    <w:tbl>
      <w:tblPr>
        <w:tblStyle w:val="20"/>
        <w:tblW w:w="9079" w:type="dxa"/>
        <w:jc w:val="center"/>
        <w:tblLayout w:type="fixed"/>
        <w:tblCellMar>
          <w:top w:w="0" w:type="dxa"/>
          <w:left w:w="108" w:type="dxa"/>
          <w:bottom w:w="0" w:type="dxa"/>
          <w:right w:w="108" w:type="dxa"/>
        </w:tblCellMar>
      </w:tblPr>
      <w:tblGrid>
        <w:gridCol w:w="1644"/>
        <w:gridCol w:w="1494"/>
        <w:gridCol w:w="1670"/>
        <w:gridCol w:w="1642"/>
        <w:gridCol w:w="1429"/>
        <w:gridCol w:w="1200"/>
      </w:tblGrid>
      <w:tr>
        <w:tblPrEx>
          <w:tblCellMar>
            <w:top w:w="0" w:type="dxa"/>
            <w:left w:w="108" w:type="dxa"/>
            <w:bottom w:w="0" w:type="dxa"/>
            <w:right w:w="108" w:type="dxa"/>
          </w:tblCellMar>
        </w:tblPrEx>
        <w:trPr>
          <w:trHeight w:val="897" w:hRule="atLeast"/>
          <w:tblHeader/>
          <w:jc w:val="center"/>
        </w:trPr>
        <w:tc>
          <w:tcPr>
            <w:tcW w:w="1644" w:type="dxa"/>
            <w:tcBorders>
              <w:top w:val="single" w:color="000000" w:sz="4" w:space="0"/>
              <w:left w:val="single" w:color="000000" w:sz="4" w:space="0"/>
              <w:bottom w:val="single" w:color="000000" w:sz="4" w:space="0"/>
              <w:right w:val="single" w:color="000000" w:sz="4" w:space="0"/>
              <w:tl2br w:val="nil"/>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危废类别</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上年度遗留量</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产生量</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委外转移量</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自行处置利用量</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eastAsia="仿宋_GB2312"/>
                <w:b/>
                <w:bCs/>
                <w:sz w:val="24"/>
                <w:szCs w:val="24"/>
              </w:rPr>
            </w:pPr>
            <w:r>
              <w:rPr>
                <w:rFonts w:eastAsia="仿宋_GB2312"/>
                <w:b/>
                <w:bCs/>
                <w:kern w:val="0"/>
                <w:sz w:val="24"/>
                <w:szCs w:val="24"/>
                <w:lang w:bidi="ar"/>
              </w:rPr>
              <w:t>本年度贮存量</w:t>
            </w:r>
          </w:p>
        </w:tc>
      </w:tr>
      <w:tr>
        <w:tblPrEx>
          <w:tblCellMar>
            <w:top w:w="0" w:type="dxa"/>
            <w:left w:w="108" w:type="dxa"/>
            <w:bottom w:w="0" w:type="dxa"/>
            <w:right w:w="108" w:type="dxa"/>
          </w:tblCellMar>
        </w:tblPrEx>
        <w:trPr>
          <w:trHeight w:val="897"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HW11精（蒸）馏残渣</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6365.5720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1156333.7665</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1150817.5320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11682.8265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198.9800</w:t>
            </w:r>
          </w:p>
        </w:tc>
      </w:tr>
      <w:tr>
        <w:tblPrEx>
          <w:tblCellMar>
            <w:top w:w="0" w:type="dxa"/>
            <w:left w:w="108" w:type="dxa"/>
            <w:bottom w:w="0" w:type="dxa"/>
            <w:right w:w="108" w:type="dxa"/>
          </w:tblCellMar>
        </w:tblPrEx>
        <w:trPr>
          <w:trHeight w:val="897"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HW50废催化剂</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3.0330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590.7780</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546.8190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46.9920</w:t>
            </w:r>
          </w:p>
        </w:tc>
      </w:tr>
      <w:tr>
        <w:tblPrEx>
          <w:tblCellMar>
            <w:top w:w="0" w:type="dxa"/>
            <w:left w:w="108" w:type="dxa"/>
            <w:bottom w:w="0" w:type="dxa"/>
            <w:right w:w="108" w:type="dxa"/>
          </w:tblCellMar>
        </w:tblPrEx>
        <w:trPr>
          <w:trHeight w:val="897"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HW49其他废物</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0.6260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185.7239</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165.5099</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20.8400</w:t>
            </w:r>
          </w:p>
        </w:tc>
      </w:tr>
      <w:tr>
        <w:tblPrEx>
          <w:tblCellMar>
            <w:top w:w="0" w:type="dxa"/>
            <w:left w:w="108" w:type="dxa"/>
            <w:bottom w:w="0" w:type="dxa"/>
            <w:right w:w="108" w:type="dxa"/>
          </w:tblCellMar>
        </w:tblPrEx>
        <w:trPr>
          <w:trHeight w:val="1339"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HW08废矿物油与含矿物油废物</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15.8260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176.9388</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163.8448</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28.9200</w:t>
            </w:r>
          </w:p>
        </w:tc>
      </w:tr>
      <w:tr>
        <w:tblPrEx>
          <w:tblCellMar>
            <w:top w:w="0" w:type="dxa"/>
            <w:left w:w="108" w:type="dxa"/>
            <w:bottom w:w="0" w:type="dxa"/>
            <w:right w:w="108" w:type="dxa"/>
          </w:tblCellMar>
        </w:tblPrEx>
        <w:trPr>
          <w:trHeight w:val="897"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HW31含铅废物</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0.0100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26.4017</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22.1730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4.2387</w:t>
            </w:r>
          </w:p>
        </w:tc>
      </w:tr>
      <w:tr>
        <w:tblPrEx>
          <w:tblCellMar>
            <w:top w:w="0" w:type="dxa"/>
            <w:left w:w="108" w:type="dxa"/>
            <w:bottom w:w="0" w:type="dxa"/>
            <w:right w:w="108" w:type="dxa"/>
          </w:tblCellMar>
        </w:tblPrEx>
        <w:trPr>
          <w:trHeight w:val="897"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HW13有机树脂类废物</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0.0000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12.8200</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12.8200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0.0000</w:t>
            </w:r>
          </w:p>
        </w:tc>
      </w:tr>
      <w:tr>
        <w:tblPrEx>
          <w:tblCellMar>
            <w:top w:w="0" w:type="dxa"/>
            <w:left w:w="108" w:type="dxa"/>
            <w:bottom w:w="0" w:type="dxa"/>
            <w:right w:w="108" w:type="dxa"/>
          </w:tblCellMar>
        </w:tblPrEx>
        <w:trPr>
          <w:trHeight w:val="897"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HW40含醚废物</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0.0000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3.4700</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0.1990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3.2710</w:t>
            </w:r>
          </w:p>
        </w:tc>
      </w:tr>
      <w:tr>
        <w:tblPrEx>
          <w:tblCellMar>
            <w:top w:w="0" w:type="dxa"/>
            <w:left w:w="108" w:type="dxa"/>
            <w:bottom w:w="0" w:type="dxa"/>
            <w:right w:w="108" w:type="dxa"/>
          </w:tblCellMar>
        </w:tblPrEx>
        <w:trPr>
          <w:trHeight w:val="897"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HW12染料、涂料废物</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0.0000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0.9000</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0.0200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0.8800</w:t>
            </w:r>
          </w:p>
        </w:tc>
      </w:tr>
      <w:tr>
        <w:tblPrEx>
          <w:tblCellMar>
            <w:top w:w="0" w:type="dxa"/>
            <w:left w:w="108" w:type="dxa"/>
            <w:bottom w:w="0" w:type="dxa"/>
            <w:right w:w="108" w:type="dxa"/>
          </w:tblCellMar>
        </w:tblPrEx>
        <w:trPr>
          <w:trHeight w:val="897"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HW39含酚废物</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0.0000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0.8000</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0.8000</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0.0000</w:t>
            </w:r>
          </w:p>
        </w:tc>
      </w:tr>
      <w:tr>
        <w:tblPrEx>
          <w:tblCellMar>
            <w:top w:w="0" w:type="dxa"/>
            <w:left w:w="108" w:type="dxa"/>
            <w:bottom w:w="0" w:type="dxa"/>
            <w:right w:w="108" w:type="dxa"/>
          </w:tblCellMar>
        </w:tblPrEx>
        <w:trPr>
          <w:trHeight w:val="804" w:hRule="atLeast"/>
          <w:jc w:val="center"/>
        </w:trPr>
        <w:tc>
          <w:tcPr>
            <w:tcW w:w="164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合计</w:t>
            </w:r>
          </w:p>
        </w:tc>
        <w:tc>
          <w:tcPr>
            <w:tcW w:w="14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6385.0670</w:t>
            </w:r>
          </w:p>
        </w:tc>
        <w:tc>
          <w:tcPr>
            <w:tcW w:w="16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1157331.599</w:t>
            </w:r>
          </w:p>
        </w:tc>
        <w:tc>
          <w:tcPr>
            <w:tcW w:w="16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1151729.7177</w:t>
            </w:r>
          </w:p>
        </w:tc>
        <w:tc>
          <w:tcPr>
            <w:tcW w:w="14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11682.8265</w:t>
            </w: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eastAsia="仿宋_GB2312"/>
                <w:sz w:val="24"/>
                <w:szCs w:val="24"/>
              </w:rPr>
            </w:pPr>
            <w:r>
              <w:rPr>
                <w:rFonts w:eastAsia="仿宋_GB2312"/>
                <w:sz w:val="24"/>
                <w:szCs w:val="24"/>
              </w:rPr>
              <w:t>304.1217</w:t>
            </w:r>
          </w:p>
        </w:tc>
      </w:tr>
    </w:tbl>
    <w:p>
      <w:pPr>
        <w:rPr>
          <w:rFonts w:eastAsia="仿宋_GB2312"/>
          <w:b/>
          <w:bCs/>
          <w:spacing w:val="-3"/>
          <w:sz w:val="32"/>
          <w:szCs w:val="32"/>
        </w:rPr>
      </w:pPr>
      <w:r>
        <w:rPr>
          <w:rFonts w:eastAsia="仿宋_GB2312"/>
          <w:b/>
          <w:bCs/>
          <w:spacing w:val="-3"/>
          <w:sz w:val="32"/>
          <w:szCs w:val="32"/>
        </w:rPr>
        <w:br w:type="page"/>
      </w:r>
    </w:p>
    <w:p>
      <w:pPr>
        <w:pStyle w:val="9"/>
        <w:kinsoku w:val="0"/>
        <w:overflowPunct w:val="0"/>
        <w:jc w:val="center"/>
        <w:outlineLvl w:val="0"/>
        <w:rPr>
          <w:rFonts w:eastAsia="仿宋_GB2312"/>
          <w:b/>
          <w:bCs/>
          <w:spacing w:val="-3"/>
          <w:sz w:val="32"/>
          <w:szCs w:val="32"/>
        </w:rPr>
      </w:pPr>
      <w:bookmarkStart w:id="154" w:name="_Toc24756"/>
      <w:bookmarkStart w:id="155" w:name="_Toc13236"/>
      <w:r>
        <w:rPr>
          <w:rFonts w:eastAsia="仿宋_GB2312"/>
          <w:b/>
          <w:bCs/>
          <w:spacing w:val="-3"/>
          <w:sz w:val="32"/>
          <w:szCs w:val="32"/>
        </w:rPr>
        <w:t>表3 伊吾县危险废物经营项目基本情况</w:t>
      </w:r>
      <w:bookmarkEnd w:id="154"/>
      <w:bookmarkEnd w:id="155"/>
    </w:p>
    <w:tbl>
      <w:tblPr>
        <w:tblStyle w:val="20"/>
        <w:tblW w:w="8298" w:type="dxa"/>
        <w:jc w:val="center"/>
        <w:tblLayout w:type="fixed"/>
        <w:tblCellMar>
          <w:top w:w="15" w:type="dxa"/>
          <w:left w:w="15" w:type="dxa"/>
          <w:bottom w:w="15" w:type="dxa"/>
          <w:right w:w="15" w:type="dxa"/>
        </w:tblCellMar>
      </w:tblPr>
      <w:tblGrid>
        <w:gridCol w:w="582"/>
        <w:gridCol w:w="2822"/>
        <w:gridCol w:w="2394"/>
        <w:gridCol w:w="1128"/>
        <w:gridCol w:w="1372"/>
      </w:tblGrid>
      <w:tr>
        <w:tblPrEx>
          <w:tblCellMar>
            <w:top w:w="15" w:type="dxa"/>
            <w:left w:w="15" w:type="dxa"/>
            <w:bottom w:w="15" w:type="dxa"/>
            <w:right w:w="15" w:type="dxa"/>
          </w:tblCellMar>
        </w:tblPrEx>
        <w:trPr>
          <w:trHeight w:val="1257"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b/>
                <w:bCs/>
                <w:sz w:val="24"/>
                <w:szCs w:val="24"/>
              </w:rPr>
            </w:pPr>
            <w:r>
              <w:rPr>
                <w:rFonts w:eastAsia="仿宋_GB2312"/>
                <w:b/>
                <w:bCs/>
                <w:sz w:val="24"/>
                <w:szCs w:val="24"/>
              </w:rPr>
              <w:t>序号</w:t>
            </w:r>
          </w:p>
        </w:tc>
        <w:tc>
          <w:tcPr>
            <w:tcW w:w="2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b/>
                <w:bCs/>
                <w:sz w:val="24"/>
                <w:szCs w:val="24"/>
              </w:rPr>
            </w:pPr>
            <w:r>
              <w:rPr>
                <w:rFonts w:eastAsia="仿宋_GB2312"/>
                <w:b/>
                <w:bCs/>
                <w:sz w:val="24"/>
                <w:szCs w:val="24"/>
              </w:rPr>
              <w:t>企业名称</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b/>
                <w:bCs/>
                <w:sz w:val="24"/>
                <w:szCs w:val="24"/>
              </w:rPr>
            </w:pPr>
            <w:r>
              <w:rPr>
                <w:rFonts w:eastAsia="仿宋_GB2312"/>
                <w:b/>
                <w:bCs/>
                <w:sz w:val="24"/>
                <w:szCs w:val="24"/>
              </w:rPr>
              <w:t>经营类别</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b/>
                <w:bCs/>
                <w:sz w:val="24"/>
                <w:szCs w:val="24"/>
              </w:rPr>
            </w:pPr>
            <w:r>
              <w:rPr>
                <w:rFonts w:eastAsia="仿宋_GB2312"/>
                <w:b/>
                <w:bCs/>
                <w:sz w:val="24"/>
                <w:szCs w:val="24"/>
              </w:rPr>
              <w:t>经营方式</w:t>
            </w:r>
          </w:p>
        </w:tc>
        <w:tc>
          <w:tcPr>
            <w:tcW w:w="137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eastAsia="仿宋_GB2312"/>
                <w:b/>
                <w:bCs/>
                <w:sz w:val="24"/>
                <w:szCs w:val="24"/>
              </w:rPr>
            </w:pPr>
            <w:r>
              <w:rPr>
                <w:rFonts w:eastAsia="仿宋_GB2312"/>
                <w:b/>
                <w:bCs/>
                <w:sz w:val="24"/>
                <w:szCs w:val="24"/>
              </w:rPr>
              <w:t>经营规模</w:t>
            </w:r>
          </w:p>
          <w:p>
            <w:pPr>
              <w:jc w:val="center"/>
              <w:textAlignment w:val="center"/>
              <w:rPr>
                <w:rFonts w:eastAsia="仿宋_GB2312"/>
                <w:b/>
                <w:bCs/>
                <w:sz w:val="24"/>
                <w:szCs w:val="24"/>
              </w:rPr>
            </w:pPr>
            <w:r>
              <w:rPr>
                <w:rFonts w:eastAsia="仿宋_GB2312"/>
                <w:b/>
                <w:bCs/>
                <w:sz w:val="24"/>
                <w:szCs w:val="24"/>
              </w:rPr>
              <w:t>（吨/年）</w:t>
            </w:r>
          </w:p>
        </w:tc>
      </w:tr>
      <w:tr>
        <w:tblPrEx>
          <w:tblCellMar>
            <w:top w:w="15" w:type="dxa"/>
            <w:left w:w="15" w:type="dxa"/>
            <w:bottom w:w="15" w:type="dxa"/>
            <w:right w:w="15" w:type="dxa"/>
          </w:tblCellMar>
        </w:tblPrEx>
        <w:trPr>
          <w:trHeight w:val="1847"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1</w:t>
            </w:r>
          </w:p>
        </w:tc>
        <w:tc>
          <w:tcPr>
            <w:tcW w:w="2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新疆新硕化工有限公司</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HW06废有机溶剂与含有机溶剂废物；HW11精（蒸）馏残渣</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收集、贮存、利用</w:t>
            </w:r>
          </w:p>
        </w:tc>
        <w:tc>
          <w:tcPr>
            <w:tcW w:w="137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eastAsia="仿宋_GB2312"/>
                <w:sz w:val="24"/>
                <w:szCs w:val="24"/>
              </w:rPr>
            </w:pPr>
            <w:r>
              <w:rPr>
                <w:rFonts w:eastAsia="仿宋_GB2312"/>
                <w:sz w:val="24"/>
                <w:szCs w:val="24"/>
              </w:rPr>
              <w:t>36000</w:t>
            </w:r>
          </w:p>
        </w:tc>
      </w:tr>
      <w:tr>
        <w:tblPrEx>
          <w:tblCellMar>
            <w:top w:w="15" w:type="dxa"/>
            <w:left w:w="15" w:type="dxa"/>
            <w:bottom w:w="15" w:type="dxa"/>
            <w:right w:w="15" w:type="dxa"/>
          </w:tblCellMar>
        </w:tblPrEx>
        <w:trPr>
          <w:trHeight w:val="1257"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2</w:t>
            </w:r>
          </w:p>
        </w:tc>
        <w:tc>
          <w:tcPr>
            <w:tcW w:w="2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新疆鸿业化工投资有限公司</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HW11精（蒸）馏残渣</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收集、贮存、利用</w:t>
            </w:r>
          </w:p>
        </w:tc>
        <w:tc>
          <w:tcPr>
            <w:tcW w:w="137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eastAsia="仿宋_GB2312"/>
                <w:sz w:val="24"/>
                <w:szCs w:val="24"/>
              </w:rPr>
            </w:pPr>
            <w:r>
              <w:rPr>
                <w:rFonts w:eastAsia="仿宋_GB2312"/>
                <w:sz w:val="24"/>
                <w:szCs w:val="24"/>
              </w:rPr>
              <w:t>150000</w:t>
            </w:r>
          </w:p>
        </w:tc>
      </w:tr>
      <w:tr>
        <w:tblPrEx>
          <w:tblCellMar>
            <w:top w:w="15" w:type="dxa"/>
            <w:left w:w="15" w:type="dxa"/>
            <w:bottom w:w="15" w:type="dxa"/>
            <w:right w:w="15" w:type="dxa"/>
          </w:tblCellMar>
        </w:tblPrEx>
        <w:trPr>
          <w:trHeight w:val="1276" w:hRule="atLeast"/>
          <w:jc w:val="center"/>
        </w:trPr>
        <w:tc>
          <w:tcPr>
            <w:tcW w:w="5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3</w:t>
            </w:r>
          </w:p>
        </w:tc>
        <w:tc>
          <w:tcPr>
            <w:tcW w:w="282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新疆信汇峡清洁能源有限公司</w:t>
            </w:r>
          </w:p>
        </w:tc>
        <w:tc>
          <w:tcPr>
            <w:tcW w:w="239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HW11精（蒸）馏残渣</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eastAsia="仿宋_GB2312"/>
                <w:sz w:val="24"/>
                <w:szCs w:val="24"/>
              </w:rPr>
            </w:pPr>
            <w:r>
              <w:rPr>
                <w:rFonts w:eastAsia="仿宋_GB2312"/>
                <w:sz w:val="24"/>
                <w:szCs w:val="24"/>
              </w:rPr>
              <w:t>收集、贮存、利用</w:t>
            </w:r>
          </w:p>
        </w:tc>
        <w:tc>
          <w:tcPr>
            <w:tcW w:w="1372" w:type="dxa"/>
            <w:tcBorders>
              <w:top w:val="single" w:color="000000" w:sz="4" w:space="0"/>
              <w:left w:val="single" w:color="000000" w:sz="4" w:space="0"/>
              <w:bottom w:val="single" w:color="000000" w:sz="4" w:space="0"/>
              <w:right w:val="single" w:color="auto" w:sz="4" w:space="0"/>
            </w:tcBorders>
            <w:vAlign w:val="center"/>
          </w:tcPr>
          <w:p>
            <w:pPr>
              <w:jc w:val="center"/>
              <w:textAlignment w:val="center"/>
              <w:rPr>
                <w:rFonts w:eastAsia="仿宋_GB2312"/>
                <w:sz w:val="24"/>
                <w:szCs w:val="24"/>
              </w:rPr>
            </w:pPr>
            <w:r>
              <w:rPr>
                <w:rFonts w:eastAsia="仿宋_GB2312"/>
                <w:sz w:val="24"/>
                <w:szCs w:val="24"/>
              </w:rPr>
              <w:t>600000</w:t>
            </w:r>
          </w:p>
        </w:tc>
      </w:tr>
    </w:tbl>
    <w:p>
      <w:pPr>
        <w:rPr>
          <w:rFonts w:eastAsia="仿宋_GB2312"/>
          <w:b/>
          <w:bCs/>
          <w:spacing w:val="-3"/>
          <w:sz w:val="32"/>
          <w:szCs w:val="32"/>
        </w:rPr>
      </w:pPr>
      <w:r>
        <w:rPr>
          <w:rFonts w:eastAsia="仿宋_GB2312"/>
          <w:b/>
          <w:bCs/>
          <w:spacing w:val="-3"/>
          <w:sz w:val="32"/>
          <w:szCs w:val="32"/>
        </w:rPr>
        <w:br w:type="page"/>
      </w:r>
    </w:p>
    <w:p>
      <w:pPr>
        <w:pStyle w:val="9"/>
        <w:kinsoku w:val="0"/>
        <w:overflowPunct w:val="0"/>
        <w:jc w:val="center"/>
        <w:outlineLvl w:val="0"/>
        <w:rPr>
          <w:rFonts w:eastAsia="仿宋_GB2312"/>
          <w:b/>
          <w:bCs/>
          <w:spacing w:val="-3"/>
          <w:sz w:val="32"/>
          <w:szCs w:val="32"/>
        </w:rPr>
      </w:pPr>
      <w:bookmarkStart w:id="156" w:name="_Toc6077"/>
      <w:bookmarkStart w:id="157" w:name="_Toc29948"/>
      <w:r>
        <w:rPr>
          <w:rFonts w:eastAsia="仿宋_GB2312"/>
          <w:b/>
          <w:bCs/>
          <w:spacing w:val="-3"/>
          <w:sz w:val="32"/>
          <w:szCs w:val="32"/>
        </w:rPr>
        <w:t>表4 伊吾县2018-2022年一般工业固废产生情况</w:t>
      </w:r>
      <w:bookmarkEnd w:id="156"/>
      <w:bookmarkEnd w:id="157"/>
      <w:r>
        <w:rPr>
          <w:rFonts w:hint="eastAsia" w:eastAsia="仿宋_GB2312"/>
          <w:b/>
          <w:bCs/>
          <w:spacing w:val="-3"/>
          <w:sz w:val="32"/>
          <w:szCs w:val="32"/>
        </w:rPr>
        <w:t>（吨）</w:t>
      </w:r>
    </w:p>
    <w:tbl>
      <w:tblPr>
        <w:tblStyle w:val="20"/>
        <w:tblW w:w="8376" w:type="dxa"/>
        <w:tblInd w:w="9" w:type="dxa"/>
        <w:tblLayout w:type="autofit"/>
        <w:tblCellMar>
          <w:top w:w="0" w:type="dxa"/>
          <w:left w:w="108" w:type="dxa"/>
          <w:bottom w:w="0" w:type="dxa"/>
          <w:right w:w="108" w:type="dxa"/>
        </w:tblCellMar>
      </w:tblPr>
      <w:tblGrid>
        <w:gridCol w:w="777"/>
        <w:gridCol w:w="1196"/>
        <w:gridCol w:w="1236"/>
        <w:gridCol w:w="1291"/>
        <w:gridCol w:w="1058"/>
        <w:gridCol w:w="1531"/>
        <w:gridCol w:w="1291"/>
      </w:tblGrid>
      <w:tr>
        <w:tblPrEx>
          <w:tblCellMar>
            <w:top w:w="0" w:type="dxa"/>
            <w:left w:w="108" w:type="dxa"/>
            <w:bottom w:w="0" w:type="dxa"/>
            <w:right w:w="108" w:type="dxa"/>
          </w:tblCellMar>
        </w:tblPrEx>
        <w:trPr>
          <w:trHeight w:val="119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b/>
                <w:bCs/>
                <w:sz w:val="24"/>
                <w:szCs w:val="24"/>
              </w:rPr>
            </w:pPr>
            <w:r>
              <w:rPr>
                <w:rStyle w:val="28"/>
                <w:rFonts w:hint="default" w:ascii="Times New Roman" w:cs="Times New Roman"/>
                <w:b/>
                <w:bCs/>
                <w:color w:val="auto"/>
                <w:lang w:bidi="ar"/>
              </w:rPr>
              <w:t>序号</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b/>
                <w:bCs/>
                <w:sz w:val="24"/>
                <w:szCs w:val="24"/>
              </w:rPr>
            </w:pPr>
            <w:r>
              <w:rPr>
                <w:rStyle w:val="28"/>
                <w:rFonts w:hint="default" w:ascii="Times New Roman" w:cs="Times New Roman"/>
                <w:b/>
                <w:bCs/>
                <w:color w:val="auto"/>
                <w:lang w:bidi="ar"/>
              </w:rPr>
              <w:t>类别</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b/>
                <w:bCs/>
                <w:sz w:val="24"/>
                <w:szCs w:val="24"/>
              </w:rPr>
            </w:pPr>
            <w:r>
              <w:rPr>
                <w:rStyle w:val="29"/>
                <w:rFonts w:eastAsia="仿宋_GB2312"/>
                <w:b/>
                <w:bCs/>
                <w:color w:val="auto"/>
                <w:lang w:bidi="ar"/>
              </w:rPr>
              <w:t>2018</w:t>
            </w:r>
            <w:r>
              <w:rPr>
                <w:rStyle w:val="28"/>
                <w:rFonts w:hint="default" w:ascii="Times New Roman" w:cs="Times New Roman"/>
                <w:b/>
                <w:bCs/>
                <w:color w:val="auto"/>
                <w:lang w:bidi="ar"/>
              </w:rPr>
              <w:t>年</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b/>
                <w:bCs/>
                <w:sz w:val="24"/>
                <w:szCs w:val="24"/>
              </w:rPr>
            </w:pPr>
            <w:r>
              <w:rPr>
                <w:rStyle w:val="29"/>
                <w:rFonts w:eastAsia="仿宋_GB2312"/>
                <w:b/>
                <w:bCs/>
                <w:color w:val="auto"/>
                <w:lang w:bidi="ar"/>
              </w:rPr>
              <w:t>2019</w:t>
            </w:r>
            <w:r>
              <w:rPr>
                <w:rStyle w:val="28"/>
                <w:rFonts w:hint="default" w:ascii="Times New Roman" w:cs="Times New Roman"/>
                <w:b/>
                <w:bCs/>
                <w:color w:val="auto"/>
                <w:lang w:bidi="ar"/>
              </w:rPr>
              <w:t>年</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b/>
                <w:bCs/>
                <w:sz w:val="24"/>
                <w:szCs w:val="24"/>
              </w:rPr>
            </w:pPr>
            <w:r>
              <w:rPr>
                <w:rStyle w:val="29"/>
                <w:rFonts w:eastAsia="仿宋_GB2312"/>
                <w:b/>
                <w:bCs/>
                <w:color w:val="auto"/>
                <w:lang w:bidi="ar"/>
              </w:rPr>
              <w:t>2020</w:t>
            </w:r>
            <w:r>
              <w:rPr>
                <w:rStyle w:val="28"/>
                <w:rFonts w:hint="default" w:ascii="Times New Roman" w:cs="Times New Roman"/>
                <w:b/>
                <w:bCs/>
                <w:color w:val="auto"/>
                <w:lang w:bidi="ar"/>
              </w:rPr>
              <w:t>年</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b/>
                <w:bCs/>
                <w:sz w:val="24"/>
                <w:szCs w:val="24"/>
              </w:rPr>
            </w:pPr>
            <w:r>
              <w:rPr>
                <w:rStyle w:val="29"/>
                <w:rFonts w:eastAsia="仿宋_GB2312"/>
                <w:b/>
                <w:bCs/>
                <w:color w:val="auto"/>
                <w:lang w:bidi="ar"/>
              </w:rPr>
              <w:t>2021</w:t>
            </w:r>
            <w:r>
              <w:rPr>
                <w:rStyle w:val="28"/>
                <w:rFonts w:hint="default" w:ascii="Times New Roman" w:cs="Times New Roman"/>
                <w:b/>
                <w:bCs/>
                <w:color w:val="auto"/>
                <w:lang w:bidi="ar"/>
              </w:rPr>
              <w:t>年</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b/>
                <w:bCs/>
                <w:sz w:val="24"/>
                <w:szCs w:val="24"/>
              </w:rPr>
            </w:pPr>
            <w:r>
              <w:rPr>
                <w:rStyle w:val="29"/>
                <w:rFonts w:eastAsia="仿宋_GB2312"/>
                <w:b/>
                <w:bCs/>
                <w:color w:val="auto"/>
                <w:lang w:bidi="ar"/>
              </w:rPr>
              <w:t>2022</w:t>
            </w:r>
            <w:r>
              <w:rPr>
                <w:rStyle w:val="28"/>
                <w:rFonts w:hint="default" w:ascii="Times New Roman" w:cs="Times New Roman"/>
                <w:b/>
                <w:bCs/>
                <w:color w:val="auto"/>
                <w:lang w:bidi="ar"/>
              </w:rPr>
              <w:t>年</w:t>
            </w:r>
          </w:p>
        </w:tc>
      </w:tr>
      <w:tr>
        <w:tblPrEx>
          <w:tblCellMar>
            <w:top w:w="0" w:type="dxa"/>
            <w:left w:w="108" w:type="dxa"/>
            <w:bottom w:w="0" w:type="dxa"/>
            <w:right w:w="108" w:type="dxa"/>
          </w:tblCellMar>
        </w:tblPrEx>
        <w:trPr>
          <w:trHeight w:val="119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1</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粉煤灰</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165173.02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166517.53</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174724</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226121.56</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115149.7</w:t>
            </w:r>
          </w:p>
        </w:tc>
      </w:tr>
      <w:tr>
        <w:tblPrEx>
          <w:tblCellMar>
            <w:top w:w="0" w:type="dxa"/>
            <w:left w:w="108" w:type="dxa"/>
            <w:bottom w:w="0" w:type="dxa"/>
            <w:right w:w="108" w:type="dxa"/>
          </w:tblCellMar>
        </w:tblPrEx>
        <w:trPr>
          <w:trHeight w:val="119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2</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Style w:val="28"/>
                <w:rFonts w:hint="default" w:ascii="Times New Roman" w:cs="Times New Roman"/>
                <w:color w:val="auto"/>
                <w:lang w:bidi="ar"/>
              </w:rPr>
              <w:t>炉渣</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351612.58</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416833.2</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410579</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354046.9</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449418.86</w:t>
            </w:r>
          </w:p>
        </w:tc>
      </w:tr>
      <w:tr>
        <w:tblPrEx>
          <w:tblCellMar>
            <w:top w:w="0" w:type="dxa"/>
            <w:left w:w="108" w:type="dxa"/>
            <w:bottom w:w="0" w:type="dxa"/>
            <w:right w:w="108" w:type="dxa"/>
          </w:tblCellMar>
        </w:tblPrEx>
        <w:trPr>
          <w:trHeight w:val="119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3</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脱硫石膏</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2100</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sz w:val="24"/>
                <w:szCs w:val="24"/>
              </w:rPr>
            </w:pPr>
            <w:r>
              <w:rPr>
                <w:rFonts w:eastAsia="仿宋_GB2312"/>
                <w:kern w:val="0"/>
                <w:sz w:val="24"/>
                <w:szCs w:val="24"/>
                <w:lang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sz w:val="24"/>
                <w:szCs w:val="24"/>
              </w:rPr>
            </w:pPr>
            <w:r>
              <w:rPr>
                <w:rFonts w:eastAsia="仿宋_GB2312"/>
                <w:kern w:val="0"/>
                <w:sz w:val="24"/>
                <w:szCs w:val="24"/>
                <w:lang w:bidi="ar"/>
              </w:rPr>
              <w:t>/</w:t>
            </w:r>
          </w:p>
        </w:tc>
      </w:tr>
      <w:tr>
        <w:tblPrEx>
          <w:tblCellMar>
            <w:top w:w="0" w:type="dxa"/>
            <w:left w:w="108" w:type="dxa"/>
            <w:bottom w:w="0" w:type="dxa"/>
            <w:right w:w="108" w:type="dxa"/>
          </w:tblCellMar>
        </w:tblPrEx>
        <w:trPr>
          <w:trHeight w:val="1198"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4</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尾矿</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147794.0762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eastAsia="仿宋_GB2312"/>
                <w:sz w:val="24"/>
                <w:szCs w:val="24"/>
              </w:rPr>
            </w:pPr>
            <w:r>
              <w:rPr>
                <w:rFonts w:eastAsia="仿宋_GB2312"/>
                <w:kern w:val="0"/>
                <w:sz w:val="24"/>
                <w:szCs w:val="24"/>
                <w:lang w:bidi="ar"/>
              </w:rPr>
              <w:t>150858.32</w:t>
            </w:r>
          </w:p>
        </w:tc>
      </w:tr>
      <w:tr>
        <w:tblPrEx>
          <w:tblCellMar>
            <w:top w:w="0" w:type="dxa"/>
            <w:left w:w="108" w:type="dxa"/>
            <w:bottom w:w="0" w:type="dxa"/>
            <w:right w:w="108" w:type="dxa"/>
          </w:tblCellMar>
        </w:tblPrEx>
        <w:trPr>
          <w:trHeight w:val="1224" w:hRule="atLeast"/>
        </w:trPr>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sz w:val="24"/>
                <w:szCs w:val="24"/>
              </w:rPr>
            </w:pPr>
            <w:r>
              <w:rPr>
                <w:rFonts w:eastAsia="仿宋_GB2312"/>
                <w:kern w:val="0"/>
                <w:sz w:val="24"/>
                <w:szCs w:val="24"/>
                <w:lang w:bidi="ar"/>
              </w:rPr>
              <w:t>合计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sz w:val="24"/>
                <w:szCs w:val="24"/>
              </w:rPr>
            </w:pPr>
            <w:r>
              <w:rPr>
                <w:rFonts w:eastAsia="仿宋_GB2312"/>
                <w:kern w:val="0"/>
                <w:sz w:val="24"/>
                <w:szCs w:val="24"/>
                <w:lang w:bidi="ar"/>
              </w:rPr>
              <w:t>516785.6</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sz w:val="24"/>
                <w:szCs w:val="24"/>
              </w:rPr>
            </w:pPr>
            <w:r>
              <w:rPr>
                <w:rFonts w:eastAsia="仿宋_GB2312"/>
                <w:kern w:val="0"/>
                <w:sz w:val="24"/>
                <w:szCs w:val="24"/>
                <w:lang w:bidi="ar"/>
              </w:rPr>
              <w:t>585450.73</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sz w:val="24"/>
                <w:szCs w:val="24"/>
              </w:rPr>
            </w:pPr>
            <w:r>
              <w:rPr>
                <w:rFonts w:eastAsia="仿宋_GB2312"/>
                <w:kern w:val="0"/>
                <w:sz w:val="24"/>
                <w:szCs w:val="24"/>
                <w:lang w:bidi="ar"/>
              </w:rPr>
              <w:t>585303</w:t>
            </w:r>
          </w:p>
        </w:tc>
        <w:tc>
          <w:tcPr>
            <w:tcW w:w="1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sz w:val="24"/>
                <w:szCs w:val="24"/>
              </w:rPr>
            </w:pPr>
            <w:r>
              <w:rPr>
                <w:rFonts w:eastAsia="仿宋_GB2312"/>
                <w:kern w:val="0"/>
                <w:sz w:val="24"/>
                <w:szCs w:val="24"/>
                <w:lang w:bidi="ar"/>
              </w:rPr>
              <w:t>727962.5362</w:t>
            </w:r>
          </w:p>
        </w:tc>
        <w:tc>
          <w:tcPr>
            <w:tcW w:w="12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eastAsia="仿宋_GB2312"/>
                <w:sz w:val="24"/>
                <w:szCs w:val="24"/>
              </w:rPr>
            </w:pPr>
            <w:r>
              <w:rPr>
                <w:rFonts w:eastAsia="仿宋_GB2312"/>
                <w:kern w:val="0"/>
                <w:sz w:val="24"/>
                <w:szCs w:val="24"/>
                <w:lang w:bidi="ar"/>
              </w:rPr>
              <w:t>715426.88</w:t>
            </w:r>
          </w:p>
        </w:tc>
      </w:tr>
    </w:tbl>
    <w:p>
      <w:pPr>
        <w:pStyle w:val="2"/>
        <w:spacing w:before="468" w:after="312"/>
        <w:ind w:firstLine="403"/>
        <w:rPr>
          <w:rFonts w:ascii="Times New Roman" w:hAnsi="Times New Roman"/>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posOffset>2612390</wp:posOffset>
              </wp:positionH>
              <wp:positionV relativeFrom="paragraph">
                <wp:posOffset>0</wp:posOffset>
              </wp:positionV>
              <wp:extent cx="161925" cy="161925"/>
              <wp:effectExtent l="0" t="0" r="9525" b="9525"/>
              <wp:wrapNone/>
              <wp:docPr id="1" name="文本框 1"/>
              <wp:cNvGraphicFramePr/>
              <a:graphic xmlns:a="http://schemas.openxmlformats.org/drawingml/2006/main">
                <a:graphicData uri="http://schemas.microsoft.com/office/word/2010/wordprocessingShape">
                  <wps:wsp>
                    <wps:cNvSpPr txBox="1"/>
                    <wps:spPr>
                      <a:xfrm>
                        <a:off x="0" y="0"/>
                        <a:ext cx="162045" cy="16204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7pt;margin-top:0pt;height:12.75pt;width:12.75pt;mso-position-horizontal-relative:margin;z-index:251659264;mso-width-relative:page;mso-height-relative:page;" filled="f" stroked="f" coordsize="21600,21600" o:gfxdata="UEsDBAoAAAAAAIdO4kAAAAAAAAAAAAAAAAAEAAAAZHJzL1BLAwQUAAAACACHTuJAMKTVbNYAAAAH&#10;AQAADwAAAGRycy9kb3ducmV2LnhtbE2Py07DMBRE90j8g3WR2FHbJa0g5KYLHjugUECCnRNfkgg/&#10;IttJy99jVrAczWjmTLU5WMNmCnHwDkEuBDByrdeD6xBeX+7OLoDFpJxWxjtC+KYIm/r4qFKl9nv3&#10;TPMudSyXuFgqhD6lseQ8tj1ZFRd+JJe9Tx+sSlmGjuug9rncGr4UYs2tGlxe6NVI1z21X7vJIpj3&#10;GO4bkT7mm+4hPW359HYrHxFPT6S4ApbokP7C8Iuf0aHOTI2fnI7MIBRSFjmKkB9luzhfXwJrEJar&#10;FfC64v/56x9QSwMEFAAAAAgAh07iQCfMXhMtAgAAVQQAAA4AAABkcnMvZTJvRG9jLnhtbK1UzY7T&#10;MBC+I/EOlu806cJWKGq6KlsVIVXsSgVxdh27sWR7jO02KQ8Ab8CJC3eeq8/BOD9dtHDYAxd3MjP+&#10;Zr5vxp3ftEaTo/BBgS3pdJJTIiyHStl9ST9+WL94TUmIzFZMgxUlPYlAbxbPn80bV4grqEFXwhME&#10;saFoXEnrGF2RZYHXwrAwAScsBiV4wyJ++n1WedYgutHZVZ7PsgZ85TxwEQJ6V32QDoj+KYAgpeJi&#10;BfxghI09qheaRaQUauUCXXTdSil4vJMyiEh0SZFp7E4sgvYundlizoq9Z65WfGiBPaWFR5wMUxaL&#10;XqBWLDJy8OovKKO4hwAyTjiYrCfSKYIspvkjbbY1c6LjglIHdxE9/D9Y/v5474mqcBMosczgwM/f&#10;v51//Dr//EqmSZ7GhQKztg7zYvsG2pQ6+AM6E+tWepN+kQ/BOIp7uogr2kh4ujS7yl9dU8Ix1Nmz&#10;hJI9XHY+xLcCDElGST3OrpOUHTch9qljSqplYa20Rj8rtCVNSWcvr/PuwiWC4NpijUShbzVZsd21&#10;Q/87qE5Iy0O/F8HxtcLiGxbiPfO4CMgEn0q8w0NqwCIwWJTU4L/8y5/ycT4YpaTBxSpp+HxgXlCi&#10;31mcXNrC0fCjsRsNezC3gLuK08BuOhMv+KhHU3own/AFLVMVDDHLsVZJ42jexn698QVysVx2Sbhr&#10;jsWN3TqeoHv5locIUnXKJll6LQa1cNu62QwvI63zn99d1sO/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KTVbNYAAAAHAQAADwAAAAAAAAABACAAAAAiAAAAZHJzL2Rvd25yZXYueG1sUEsBAhQA&#10;FAAAAAgAh07iQCfMXhMtAgAAVQQAAA4AAAAAAAAAAQAgAAAAJQEAAGRycy9lMm9Eb2MueG1sUEsF&#10;BgAAAAAGAAYAWQEAAMQFAAAAAA==&#10;">
              <v:fill on="f" focussize="0,0"/>
              <v:stroke on="f" weight="0.5pt"/>
              <v:imagedata o:title=""/>
              <o:lock v:ext="edit" aspectratio="f"/>
              <v:textbox inset="0mm,0mm,0mm,0mm">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posOffset>2606675</wp:posOffset>
              </wp:positionH>
              <wp:positionV relativeFrom="paragraph">
                <wp:posOffset>635</wp:posOffset>
              </wp:positionV>
              <wp:extent cx="219710" cy="156210"/>
              <wp:effectExtent l="0" t="0" r="8890" b="15240"/>
              <wp:wrapNone/>
              <wp:docPr id="2" name="文本框 2"/>
              <wp:cNvGraphicFramePr/>
              <a:graphic xmlns:a="http://schemas.openxmlformats.org/drawingml/2006/main">
                <a:graphicData uri="http://schemas.microsoft.com/office/word/2010/wordprocessingShape">
                  <wps:wsp>
                    <wps:cNvSpPr txBox="1"/>
                    <wps:spPr>
                      <a:xfrm>
                        <a:off x="0" y="0"/>
                        <a:ext cx="219919" cy="15625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25pt;margin-top:0.05pt;height:12.3pt;width:17.3pt;mso-position-horizontal-relative:margin;z-index:251660288;mso-width-relative:page;mso-height-relative:page;" filled="f" stroked="f" coordsize="21600,21600" o:gfxdata="UEsDBAoAAAAAAIdO4kAAAAAAAAAAAAAAAAAEAAAAZHJzL1BLAwQUAAAACACHTuJAF+dmPNUAAAAH&#10;AQAADwAAAGRycy9kb3ducmV2LnhtbE2Oy07DMBBF90j8gzVI7KidKgUU4nTBY8ezUKnsnHhIIuJx&#10;ZDtp+XumK9jN1bm6c8r1wQ1ixhB7TxqyhQKB1HjbU6vh4/3h4hpETIasGTyhhh+MsK5OT0pTWL+n&#10;N5w3qRU8QrEwGrqUxkLK2HToTFz4EYnZlw/OJI6hlTaYPY+7QS6VupTO9MQfOjPibYfN92ZyGoZd&#10;DI+1Sp/zXfuUXl/ktL3PnrU+P8vUDYiEh/RXhqM+q0PFTrWfyEYxaMgzteLqEQjGeb7io9awzK9A&#10;VqX871/9AlBLAwQUAAAACACHTuJAPM1MmjECAABVBAAADgAAAGRycy9lMm9Eb2MueG1srVTBjtMw&#10;EL0j8Q+W7zRNUKtt1XRVtipCqtiVCuLsOk4TyfYY221SPgD+gBMX7nxXv4Oxk3TRwmEPXNzJzPiN&#10;35uZLm5bJclJWFeDzmk6GlMiNIei1oecfvyweXVDifNMF0yCFjk9C0dvly9fLBozFxlUIAthCYJo&#10;N29MTivvzTxJHK+EYm4ERmgMlmAV8/hpD0lhWYPoSibZeDxNGrCFscCFc+hdd0HaI9rnAEJZ1lys&#10;gR+V0L5DtUIyj5RcVRtHl/G1ZSm4vy9LJzyROUWmPp5YBO19OJPlgs0Plpmq5v0T2HOe8ISTYrXG&#10;oleoNfOMHG39F5SquQUHpR9xUElHJCqCLNLxE212FTMickGpnbmK7v4fLH9/erCkLnKaUaKZwoZf&#10;vn+7/Ph1+fmVZEGexrg5Zu0M5vn2DbQ4NIPfoTOwbkurwi/yIRhHcc9XcUXrCUdnls5m6YwSjqF0&#10;Ms0mNwElebxsrPNvBSgSjJxa7F2UlJ22znepQ0qopWFTSxn7JzVpcjp9PRnHC9cIgkuNNQKF7qnB&#10;8u2+7XntoTgjLQvdXDjDNzUW3zLnH5jFQUAmuCr+Ho9SAhaB3qKkAvvlX/6Qj/3BKCUNDlZO3ecj&#10;s4IS+U5j58IUDoYdjP1g6KO6A5zVFJfQ8GjiBevlYJYW1CfcoFWogiGmOdbKqR/MO9+NN24gF6tV&#10;TMJZM8xv9c7wAN3Jtzp6KOuobJCl06JXC6ct9qbfjDDOf37HrMd/g+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dmPNUAAAAHAQAADwAAAAAAAAABACAAAAAiAAAAZHJzL2Rvd25yZXYueG1sUEsB&#10;AhQAFAAAAAgAh07iQDzNTJoxAgAAVQQAAA4AAAAAAAAAAQAgAAAAJAEAAGRycy9lMm9Eb2MueG1s&#10;UEsFBgAAAAAGAAYAWQEAAMcFAAAAAA==&#10;">
              <v:fill on="f" focussize="0,0"/>
              <v:stroke on="f" weight="0.5pt"/>
              <v:imagedata o:title=""/>
              <o:lock v:ext="edit" aspectratio="f"/>
              <v:textbox inset="0mm,0mm,0mm,0mm">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pStyle w:val="4"/>
      <w:suff w:val="nothing"/>
      <w:lvlText w:val="（%1）"/>
      <w:lvlJc w:val="left"/>
      <w:pPr>
        <w:ind w:left="1050"/>
      </w:pPr>
      <w:rPr>
        <w:rFonts w:hint="eastAsia"/>
      </w:rPr>
    </w:lvl>
  </w:abstractNum>
  <w:abstractNum w:abstractNumId="1">
    <w:nsid w:val="115B4578"/>
    <w:multiLevelType w:val="singleLevel"/>
    <w:tmpl w:val="115B4578"/>
    <w:lvl w:ilvl="0" w:tentative="0">
      <w:start w:val="3"/>
      <w:numFmt w:val="chineseCounting"/>
      <w:suff w:val="space"/>
      <w:lvlText w:val="第%1章"/>
      <w:lvlJc w:val="left"/>
      <w:rPr>
        <w:rFonts w:hint="eastAsia"/>
      </w:rPr>
    </w:lvl>
  </w:abstractNum>
  <w:abstractNum w:abstractNumId="2">
    <w:nsid w:val="71437008"/>
    <w:multiLevelType w:val="multilevel"/>
    <w:tmpl w:val="71437008"/>
    <w:lvl w:ilvl="0" w:tentative="0">
      <w:start w:val="1"/>
      <w:numFmt w:val="decimal"/>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0"/>
    <w:lvlOverride w:ilvl="0">
      <w:startOverride w:val="1"/>
    </w:lvlOverride>
  </w:num>
  <w:num w:numId="3">
    <w:abstractNumId w:val="2"/>
  </w:num>
  <w:num w:numId="4">
    <w:abstractNumId w:val="1"/>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MzA4NzA1ZjY1ZGRjM2U0ZjA0ZmY2MDc0YzNjMDYifQ=="/>
  </w:docVars>
  <w:rsids>
    <w:rsidRoot w:val="00172A27"/>
    <w:rsid w:val="00006610"/>
    <w:rsid w:val="00090CCF"/>
    <w:rsid w:val="000B611E"/>
    <w:rsid w:val="00172A27"/>
    <w:rsid w:val="0027774F"/>
    <w:rsid w:val="002B1983"/>
    <w:rsid w:val="002D6847"/>
    <w:rsid w:val="0032298C"/>
    <w:rsid w:val="003747A1"/>
    <w:rsid w:val="0052533F"/>
    <w:rsid w:val="006B2B2F"/>
    <w:rsid w:val="007420A6"/>
    <w:rsid w:val="00787FC7"/>
    <w:rsid w:val="0082484C"/>
    <w:rsid w:val="00956DC0"/>
    <w:rsid w:val="0098214A"/>
    <w:rsid w:val="00DB426C"/>
    <w:rsid w:val="00EE14C1"/>
    <w:rsid w:val="00F63383"/>
    <w:rsid w:val="00F76378"/>
    <w:rsid w:val="00FF1235"/>
    <w:rsid w:val="024912E2"/>
    <w:rsid w:val="066071A5"/>
    <w:rsid w:val="0A387A05"/>
    <w:rsid w:val="0A6E6EF5"/>
    <w:rsid w:val="0AA96DC2"/>
    <w:rsid w:val="0B237EA2"/>
    <w:rsid w:val="0D044784"/>
    <w:rsid w:val="0DDD0978"/>
    <w:rsid w:val="0F24433E"/>
    <w:rsid w:val="0FA541DB"/>
    <w:rsid w:val="104028C6"/>
    <w:rsid w:val="10513ABD"/>
    <w:rsid w:val="12CB283C"/>
    <w:rsid w:val="145E6E6F"/>
    <w:rsid w:val="145F30B0"/>
    <w:rsid w:val="14F444FB"/>
    <w:rsid w:val="15CD0131"/>
    <w:rsid w:val="19DC6A0B"/>
    <w:rsid w:val="1A722050"/>
    <w:rsid w:val="1B975DEF"/>
    <w:rsid w:val="1CB66E0D"/>
    <w:rsid w:val="1CCC7D1E"/>
    <w:rsid w:val="1EF34658"/>
    <w:rsid w:val="20185EB2"/>
    <w:rsid w:val="219821E2"/>
    <w:rsid w:val="24380905"/>
    <w:rsid w:val="244B2840"/>
    <w:rsid w:val="2532293B"/>
    <w:rsid w:val="25C838FB"/>
    <w:rsid w:val="266A16A4"/>
    <w:rsid w:val="26D602AB"/>
    <w:rsid w:val="2C3F6DEA"/>
    <w:rsid w:val="2CEF51E4"/>
    <w:rsid w:val="31E75151"/>
    <w:rsid w:val="3369407E"/>
    <w:rsid w:val="35BF6BFC"/>
    <w:rsid w:val="390D5DCA"/>
    <w:rsid w:val="3B9F121E"/>
    <w:rsid w:val="3C5E113B"/>
    <w:rsid w:val="3C694005"/>
    <w:rsid w:val="3E903E3C"/>
    <w:rsid w:val="3F3E575C"/>
    <w:rsid w:val="3F5556AE"/>
    <w:rsid w:val="3FF53F7E"/>
    <w:rsid w:val="422B5D33"/>
    <w:rsid w:val="42360372"/>
    <w:rsid w:val="426B1587"/>
    <w:rsid w:val="445045B8"/>
    <w:rsid w:val="453058B6"/>
    <w:rsid w:val="46EF6631"/>
    <w:rsid w:val="47587CF5"/>
    <w:rsid w:val="483B0AF4"/>
    <w:rsid w:val="483C1A7A"/>
    <w:rsid w:val="4BC32B39"/>
    <w:rsid w:val="4BDC32AE"/>
    <w:rsid w:val="4E96384E"/>
    <w:rsid w:val="4EB75363"/>
    <w:rsid w:val="4F727B43"/>
    <w:rsid w:val="510F70DE"/>
    <w:rsid w:val="52723A23"/>
    <w:rsid w:val="53B874AE"/>
    <w:rsid w:val="545720E4"/>
    <w:rsid w:val="55BA66A9"/>
    <w:rsid w:val="57030BD5"/>
    <w:rsid w:val="57EE3633"/>
    <w:rsid w:val="59D4243C"/>
    <w:rsid w:val="5A164B66"/>
    <w:rsid w:val="5A6E0A5B"/>
    <w:rsid w:val="5BAF62AF"/>
    <w:rsid w:val="5C6C4B26"/>
    <w:rsid w:val="5CE033EF"/>
    <w:rsid w:val="5E565454"/>
    <w:rsid w:val="5ECA3D86"/>
    <w:rsid w:val="5F785320"/>
    <w:rsid w:val="602A3953"/>
    <w:rsid w:val="6061651E"/>
    <w:rsid w:val="60D74D5C"/>
    <w:rsid w:val="61006E17"/>
    <w:rsid w:val="6140625E"/>
    <w:rsid w:val="61DE061B"/>
    <w:rsid w:val="6201668B"/>
    <w:rsid w:val="640A37E9"/>
    <w:rsid w:val="64175CC0"/>
    <w:rsid w:val="6552075E"/>
    <w:rsid w:val="67370C3C"/>
    <w:rsid w:val="67C07DED"/>
    <w:rsid w:val="6B391163"/>
    <w:rsid w:val="6C300332"/>
    <w:rsid w:val="6CE95092"/>
    <w:rsid w:val="703F285B"/>
    <w:rsid w:val="73133AF6"/>
    <w:rsid w:val="75482D18"/>
    <w:rsid w:val="775D3037"/>
    <w:rsid w:val="79175C1B"/>
    <w:rsid w:val="7A813490"/>
    <w:rsid w:val="7AC758F2"/>
    <w:rsid w:val="7D677F74"/>
    <w:rsid w:val="7E2B365F"/>
    <w:rsid w:val="7F867C22"/>
    <w:rsid w:val="7FE15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spacing w:line="360" w:lineRule="auto"/>
      <w:ind w:firstLine="200" w:firstLineChars="200"/>
      <w:jc w:val="center"/>
      <w:outlineLvl w:val="0"/>
    </w:pPr>
    <w:rPr>
      <w:rFonts w:eastAsia="黑体"/>
      <w:sz w:val="32"/>
      <w:szCs w:val="39"/>
    </w:rPr>
  </w:style>
  <w:style w:type="paragraph" w:styleId="4">
    <w:name w:val="heading 2"/>
    <w:basedOn w:val="1"/>
    <w:next w:val="1"/>
    <w:qFormat/>
    <w:uiPriority w:val="0"/>
    <w:pPr>
      <w:keepNext/>
      <w:keepLines/>
      <w:numPr>
        <w:ilvl w:val="0"/>
        <w:numId w:val="1"/>
      </w:numPr>
      <w:outlineLvl w:val="1"/>
    </w:pPr>
    <w:rPr>
      <w:rFonts w:eastAsia="楷体_GB2312"/>
      <w:bCs/>
      <w:sz w:val="32"/>
      <w:szCs w:val="32"/>
    </w:rPr>
  </w:style>
  <w:style w:type="paragraph" w:styleId="5">
    <w:name w:val="heading 3"/>
    <w:basedOn w:val="1"/>
    <w:next w:val="1"/>
    <w:qFormat/>
    <w:uiPriority w:val="0"/>
    <w:pPr>
      <w:keepNext/>
      <w:keepLines/>
      <w:ind w:firstLine="200" w:firstLineChars="200"/>
      <w:outlineLvl w:val="2"/>
    </w:pPr>
    <w:rPr>
      <w:rFonts w:eastAsia="仿宋"/>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Char"/>
    <w:qFormat/>
    <w:uiPriority w:val="99"/>
    <w:pPr>
      <w:widowControl w:val="0"/>
      <w:adjustRightInd w:val="0"/>
      <w:snapToGrid w:val="0"/>
      <w:spacing w:beforeLines="150" w:afterLines="100" w:line="360" w:lineRule="auto"/>
      <w:ind w:firstLine="192" w:firstLineChars="192"/>
      <w:jc w:val="both"/>
    </w:pPr>
    <w:rPr>
      <w:rFonts w:ascii="Calibri" w:hAnsi="Calibri" w:eastAsia="宋体" w:cs="Times New Roman"/>
      <w:kern w:val="2"/>
      <w:sz w:val="21"/>
      <w:szCs w:val="24"/>
      <w:lang w:val="en-US" w:eastAsia="zh-CN" w:bidi="ar-SA"/>
    </w:rPr>
  </w:style>
  <w:style w:type="paragraph" w:styleId="7">
    <w:name w:val="table of authorities"/>
    <w:basedOn w:val="1"/>
    <w:next w:val="1"/>
    <w:semiHidden/>
    <w:qFormat/>
    <w:uiPriority w:val="0"/>
    <w:pPr>
      <w:ind w:left="420" w:leftChars="200"/>
    </w:pPr>
  </w:style>
  <w:style w:type="paragraph" w:styleId="8">
    <w:name w:val="annotation text"/>
    <w:basedOn w:val="1"/>
    <w:qFormat/>
    <w:uiPriority w:val="0"/>
    <w:pPr>
      <w:jc w:val="left"/>
    </w:pPr>
  </w:style>
  <w:style w:type="paragraph" w:styleId="9">
    <w:name w:val="Body Text"/>
    <w:basedOn w:val="1"/>
    <w:next w:val="10"/>
    <w:qFormat/>
    <w:uiPriority w:val="0"/>
    <w:rPr>
      <w:sz w:val="24"/>
    </w:rPr>
  </w:style>
  <w:style w:type="paragraph" w:styleId="10">
    <w:name w:val="Body Text First Indent"/>
    <w:basedOn w:val="9"/>
    <w:qFormat/>
    <w:uiPriority w:val="0"/>
    <w:pPr>
      <w:ind w:firstLine="420" w:firstLineChars="100"/>
    </w:pPr>
  </w:style>
  <w:style w:type="paragraph" w:styleId="11">
    <w:name w:val="Body Text Indent"/>
    <w:basedOn w:val="1"/>
    <w:next w:val="9"/>
    <w:qFormat/>
    <w:uiPriority w:val="0"/>
    <w:pPr>
      <w:spacing w:after="120"/>
      <w:ind w:left="420" w:leftChars="200"/>
    </w:pPr>
  </w:style>
  <w:style w:type="paragraph" w:styleId="12">
    <w:name w:val="toc 3"/>
    <w:basedOn w:val="1"/>
    <w:next w:val="1"/>
    <w:qFormat/>
    <w:uiPriority w:val="0"/>
    <w:pPr>
      <w:ind w:left="840" w:leftChars="400"/>
    </w:pPr>
  </w:style>
  <w:style w:type="paragraph" w:styleId="13">
    <w:name w:val="Body Text Indent 2"/>
    <w:basedOn w:val="1"/>
    <w:qFormat/>
    <w:uiPriority w:val="0"/>
    <w:pPr>
      <w:ind w:firstLine="662" w:firstLineChars="207"/>
    </w:pPr>
    <w:rPr>
      <w:sz w:val="32"/>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Normal (Web)"/>
    <w:basedOn w:val="1"/>
    <w:unhideWhenUsed/>
    <w:qFormat/>
    <w:uiPriority w:val="99"/>
    <w:pPr>
      <w:spacing w:beforeAutospacing="1" w:afterAutospacing="1"/>
      <w:jc w:val="left"/>
    </w:pPr>
    <w:rPr>
      <w:kern w:val="0"/>
      <w:sz w:val="24"/>
    </w:rPr>
  </w:style>
  <w:style w:type="paragraph" w:styleId="18">
    <w:name w:val="Title"/>
    <w:basedOn w:val="1"/>
    <w:next w:val="1"/>
    <w:qFormat/>
    <w:uiPriority w:val="0"/>
    <w:pPr>
      <w:spacing w:before="120" w:after="120"/>
      <w:jc w:val="center"/>
    </w:pPr>
    <w:rPr>
      <w:rFonts w:eastAsia="黑体"/>
      <w:b/>
      <w:sz w:val="32"/>
    </w:rPr>
  </w:style>
  <w:style w:type="paragraph" w:styleId="19">
    <w:name w:val="Body Text First Indent 2"/>
    <w:basedOn w:val="11"/>
    <w:next w:val="11"/>
    <w:qFormat/>
    <w:uiPriority w:val="0"/>
    <w:pPr>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Emphasis"/>
    <w:basedOn w:val="22"/>
    <w:qFormat/>
    <w:uiPriority w:val="0"/>
    <w:rPr>
      <w:i/>
    </w:rPr>
  </w:style>
  <w:style w:type="character" w:styleId="25">
    <w:name w:val="annotation reference"/>
    <w:basedOn w:val="22"/>
    <w:qFormat/>
    <w:uiPriority w:val="0"/>
    <w:rPr>
      <w:sz w:val="21"/>
      <w:szCs w:val="21"/>
    </w:rPr>
  </w:style>
  <w:style w:type="paragraph" w:customStyle="1" w:styleId="26">
    <w:name w:val="列表段落1"/>
    <w:basedOn w:val="1"/>
    <w:qFormat/>
    <w:uiPriority w:val="0"/>
    <w:pPr>
      <w:ind w:firstLine="420" w:firstLineChars="200"/>
    </w:pPr>
  </w:style>
  <w:style w:type="character" w:customStyle="1" w:styleId="27">
    <w:name w:val="NormalCharacter"/>
    <w:semiHidden/>
    <w:qFormat/>
    <w:uiPriority w:val="0"/>
    <w:rPr>
      <w:rFonts w:ascii="Calibri" w:hAnsi="Calibri" w:eastAsia="宋体" w:cs="Times New Roman"/>
      <w:kern w:val="2"/>
      <w:sz w:val="21"/>
      <w:szCs w:val="24"/>
      <w:lang w:val="en-US" w:eastAsia="zh-CN" w:bidi="ar-SA"/>
    </w:rPr>
  </w:style>
  <w:style w:type="character" w:customStyle="1" w:styleId="28">
    <w:name w:val="font21"/>
    <w:basedOn w:val="22"/>
    <w:qFormat/>
    <w:uiPriority w:val="0"/>
    <w:rPr>
      <w:rFonts w:hint="eastAsia" w:ascii="仿宋_GB2312" w:eastAsia="仿宋_GB2312" w:cs="仿宋_GB2312"/>
      <w:color w:val="000000"/>
      <w:sz w:val="24"/>
      <w:szCs w:val="24"/>
      <w:u w:val="none"/>
    </w:rPr>
  </w:style>
  <w:style w:type="character" w:customStyle="1" w:styleId="29">
    <w:name w:val="font31"/>
    <w:basedOn w:val="22"/>
    <w:qFormat/>
    <w:uiPriority w:val="0"/>
    <w:rPr>
      <w:rFonts w:hint="default" w:ascii="Times New Roman" w:hAnsi="Times New Roman" w:cs="Times New Roman"/>
      <w:color w:val="000000"/>
      <w:sz w:val="24"/>
      <w:szCs w:val="24"/>
      <w:u w:val="none"/>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列表段落11"/>
    <w:basedOn w:val="1"/>
    <w:qFormat/>
    <w:uiPriority w:val="0"/>
    <w:pPr>
      <w:ind w:firstLine="420" w:firstLineChars="200"/>
    </w:p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4">
    <w:name w:val="fontstyle01"/>
    <w:basedOn w:val="22"/>
    <w:qFormat/>
    <w:uiPriority w:val="0"/>
    <w:rPr>
      <w:rFonts w:hint="eastAsia" w:ascii="黑体" w:hAnsi="黑体" w:eastAsia="黑体"/>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2088</Words>
  <Characters>11905</Characters>
  <Lines>99</Lines>
  <Paragraphs>27</Paragraphs>
  <TotalTime>9</TotalTime>
  <ScaleCrop>false</ScaleCrop>
  <LinksUpToDate>false</LinksUpToDate>
  <CharactersWithSpaces>13966</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2023-12-21T02:44:00Z</dcterms:created>
  <dc:creator>LING</dc:creator>
  <cp:lastModifiedBy>Administrator</cp:lastModifiedBy>
  <cp:lastPrinted>2024-01-18T12:12:00Z</cp:lastPrinted>
  <dcterms:modified xsi:type="dcterms:W3CDTF">2024-01-18T12:12:19Z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D7E679530E8D41CEAF6D1100C2A5BAB3</vt:lpwstr>
  </property>
</Properties>
</file>